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B6CF8" w14:textId="77777777" w:rsidR="0038194C" w:rsidRPr="00116887" w:rsidRDefault="0038194C" w:rsidP="0038194C">
      <w:pPr>
        <w:tabs>
          <w:tab w:val="left" w:pos="6521"/>
        </w:tabs>
        <w:rPr>
          <w:rFonts w:ascii="Calibri" w:hAnsi="Calibri"/>
          <w:sz w:val="20"/>
        </w:rPr>
      </w:pPr>
      <w:r>
        <w:rPr>
          <w:rFonts w:ascii="Calibri" w:hAnsi="Calibri"/>
          <w:sz w:val="20"/>
        </w:rPr>
        <w:t>14 William Street</w:t>
      </w:r>
    </w:p>
    <w:p w14:paraId="28104807" w14:textId="77777777" w:rsidR="0038194C" w:rsidRPr="00116887" w:rsidRDefault="0038194C" w:rsidP="0038194C">
      <w:pPr>
        <w:tabs>
          <w:tab w:val="left" w:pos="6521"/>
        </w:tabs>
        <w:rPr>
          <w:rFonts w:ascii="Calibri" w:hAnsi="Calibri"/>
          <w:sz w:val="20"/>
        </w:rPr>
      </w:pPr>
      <w:r>
        <w:rPr>
          <w:rFonts w:ascii="Calibri" w:hAnsi="Calibri"/>
          <w:sz w:val="20"/>
        </w:rPr>
        <w:t>Oatlands Tasmania 7120</w:t>
      </w:r>
      <w:r w:rsidRPr="00116887">
        <w:rPr>
          <w:rFonts w:ascii="Calibri" w:hAnsi="Calibri"/>
          <w:sz w:val="20"/>
        </w:rPr>
        <w:t xml:space="preserve"> Australia</w:t>
      </w:r>
    </w:p>
    <w:p w14:paraId="13A7F788" w14:textId="77777777" w:rsidR="0038194C" w:rsidRDefault="0038194C" w:rsidP="0038194C">
      <w:pPr>
        <w:tabs>
          <w:tab w:val="left" w:pos="6521"/>
        </w:tabs>
        <w:rPr>
          <w:rFonts w:ascii="Calibri" w:hAnsi="Calibri"/>
          <w:sz w:val="20"/>
        </w:rPr>
      </w:pPr>
      <w:r w:rsidRPr="00243AC4">
        <w:rPr>
          <w:rFonts w:ascii="Calibri" w:hAnsi="Calibri"/>
          <w:b/>
          <w:sz w:val="20"/>
        </w:rPr>
        <w:t>t</w:t>
      </w:r>
      <w:r w:rsidRPr="00116887">
        <w:rPr>
          <w:rFonts w:ascii="Calibri" w:hAnsi="Calibri"/>
          <w:sz w:val="20"/>
        </w:rPr>
        <w:t xml:space="preserve"> </w:t>
      </w:r>
      <w:r>
        <w:rPr>
          <w:rFonts w:ascii="Calibri" w:hAnsi="Calibri"/>
          <w:sz w:val="20"/>
        </w:rPr>
        <w:t xml:space="preserve">+61 3 6254 1494  </w:t>
      </w:r>
      <w:r>
        <w:rPr>
          <w:rFonts w:ascii="Calibri" w:hAnsi="Calibri"/>
          <w:b/>
          <w:sz w:val="20"/>
        </w:rPr>
        <w:t>m</w:t>
      </w:r>
      <w:r w:rsidRPr="00116887">
        <w:rPr>
          <w:rFonts w:ascii="Calibri" w:hAnsi="Calibri"/>
          <w:sz w:val="20"/>
        </w:rPr>
        <w:t xml:space="preserve"> </w:t>
      </w:r>
      <w:r>
        <w:rPr>
          <w:rFonts w:ascii="Calibri" w:hAnsi="Calibri"/>
          <w:sz w:val="20"/>
        </w:rPr>
        <w:t>+61 499 541 441</w:t>
      </w:r>
    </w:p>
    <w:p w14:paraId="2D96850A" w14:textId="4B900330" w:rsidR="00EB6C72" w:rsidRDefault="00236FCB" w:rsidP="00EB6C72">
      <w:pPr>
        <w:tabs>
          <w:tab w:val="left" w:pos="6521"/>
        </w:tabs>
        <w:rPr>
          <w:rFonts w:asciiTheme="minorHAnsi" w:hAnsiTheme="minorHAnsi"/>
          <w:sz w:val="20"/>
          <w:szCs w:val="20"/>
        </w:rPr>
      </w:pPr>
      <w:r w:rsidRPr="00236FCB">
        <w:rPr>
          <w:rFonts w:asciiTheme="minorHAnsi" w:hAnsiTheme="minorHAnsi"/>
          <w:b/>
          <w:sz w:val="20"/>
          <w:szCs w:val="20"/>
        </w:rPr>
        <w:t>e</w:t>
      </w:r>
      <w:r w:rsidRPr="00236FCB">
        <w:rPr>
          <w:rFonts w:asciiTheme="minorHAnsi" w:hAnsiTheme="minorHAnsi"/>
          <w:sz w:val="20"/>
          <w:szCs w:val="20"/>
        </w:rPr>
        <w:t xml:space="preserve"> </w:t>
      </w:r>
      <w:hyperlink r:id="rId11" w:history="1">
        <w:r w:rsidRPr="00417959">
          <w:rPr>
            <w:rStyle w:val="Hyperlink"/>
            <w:rFonts w:asciiTheme="minorHAnsi" w:hAnsiTheme="minorHAnsi"/>
            <w:sz w:val="20"/>
            <w:szCs w:val="20"/>
          </w:rPr>
          <w:t>gondwanaheritagesolutions@gmail.com</w:t>
        </w:r>
      </w:hyperlink>
    </w:p>
    <w:p w14:paraId="2D96850B" w14:textId="5B918CFE" w:rsidR="00EB6C72" w:rsidRPr="000172F9" w:rsidRDefault="00EB6C72" w:rsidP="00EB6C72">
      <w:pPr>
        <w:tabs>
          <w:tab w:val="left" w:pos="6521"/>
        </w:tabs>
        <w:rPr>
          <w:rFonts w:asciiTheme="minorHAnsi" w:hAnsiTheme="minorHAnsi"/>
          <w:sz w:val="20"/>
          <w:szCs w:val="20"/>
        </w:rPr>
      </w:pPr>
    </w:p>
    <w:p w14:paraId="2D968513" w14:textId="77777777" w:rsidR="00D56A5A" w:rsidRPr="00A57A8A" w:rsidRDefault="00D56A5A" w:rsidP="00D56A5A">
      <w:pPr>
        <w:tabs>
          <w:tab w:val="left" w:pos="6521"/>
        </w:tabs>
        <w:rPr>
          <w:rFonts w:ascii="Calibri" w:hAnsi="Calibri"/>
          <w:b/>
          <w:sz w:val="44"/>
          <w:szCs w:val="44"/>
        </w:rPr>
      </w:pPr>
      <w:r>
        <w:rPr>
          <w:rFonts w:ascii="Calibri" w:hAnsi="Calibri"/>
          <w:b/>
          <w:sz w:val="44"/>
          <w:szCs w:val="44"/>
        </w:rPr>
        <w:t xml:space="preserve">Project </w:t>
      </w:r>
      <w:r w:rsidR="00724E55">
        <w:rPr>
          <w:rFonts w:ascii="Calibri" w:hAnsi="Calibri"/>
          <w:b/>
          <w:sz w:val="44"/>
          <w:szCs w:val="44"/>
        </w:rPr>
        <w:t>N</w:t>
      </w:r>
      <w:r>
        <w:rPr>
          <w:rFonts w:ascii="Calibri" w:hAnsi="Calibri"/>
          <w:b/>
          <w:sz w:val="44"/>
          <w:szCs w:val="44"/>
        </w:rPr>
        <w:t>ote</w:t>
      </w:r>
    </w:p>
    <w:tbl>
      <w:tblPr>
        <w:tblW w:w="5334" w:type="pct"/>
        <w:tblLayout w:type="fixed"/>
        <w:tblLook w:val="01E0" w:firstRow="1" w:lastRow="1" w:firstColumn="1" w:lastColumn="1" w:noHBand="0" w:noVBand="0"/>
      </w:tblPr>
      <w:tblGrid>
        <w:gridCol w:w="2224"/>
        <w:gridCol w:w="6848"/>
      </w:tblGrid>
      <w:tr w:rsidR="00D56A5A" w:rsidRPr="00280C46" w14:paraId="2D968516" w14:textId="77777777" w:rsidTr="00904514">
        <w:trPr>
          <w:trHeight w:val="247"/>
        </w:trPr>
        <w:tc>
          <w:tcPr>
            <w:tcW w:w="2224" w:type="dxa"/>
            <w:tcBorders>
              <w:top w:val="single" w:sz="4" w:space="0" w:color="auto"/>
              <w:right w:val="single" w:sz="4" w:space="0" w:color="C0C0C0"/>
            </w:tcBorders>
          </w:tcPr>
          <w:p w14:paraId="2D968514" w14:textId="77777777" w:rsidR="00D56A5A" w:rsidRPr="00747BCE" w:rsidRDefault="00D56A5A" w:rsidP="006C3E78">
            <w:pPr>
              <w:pStyle w:val="DocInfoEntries"/>
            </w:pPr>
            <w:r>
              <w:t>To</w:t>
            </w:r>
          </w:p>
        </w:tc>
        <w:sdt>
          <w:sdtPr>
            <w:id w:val="1839570051"/>
            <w:placeholder>
              <w:docPart w:val="34BC08C72B9D4C7497B1F67F0D3E058F"/>
            </w:placeholder>
          </w:sdtPr>
          <w:sdtEndPr/>
          <w:sdtContent>
            <w:tc>
              <w:tcPr>
                <w:tcW w:w="6848" w:type="dxa"/>
                <w:tcBorders>
                  <w:top w:val="single" w:sz="4" w:space="0" w:color="auto"/>
                  <w:left w:val="single" w:sz="4" w:space="0" w:color="C0C0C0"/>
                </w:tcBorders>
                <w:shd w:val="clear" w:color="auto" w:fill="auto"/>
              </w:tcPr>
              <w:p w14:paraId="2D968515" w14:textId="60B849F6" w:rsidR="00D56A5A" w:rsidRPr="00753181" w:rsidRDefault="00FD3CAA" w:rsidP="00FD3CAA">
                <w:pPr>
                  <w:pStyle w:val="DocInfoEntries"/>
                </w:pPr>
                <w:r>
                  <w:t>David Procter</w:t>
                </w:r>
              </w:p>
            </w:tc>
          </w:sdtContent>
        </w:sdt>
      </w:tr>
      <w:tr w:rsidR="00D56A5A" w:rsidRPr="00280C46" w14:paraId="2D968519" w14:textId="77777777" w:rsidTr="00904514">
        <w:trPr>
          <w:trHeight w:val="132"/>
        </w:trPr>
        <w:tc>
          <w:tcPr>
            <w:tcW w:w="2224" w:type="dxa"/>
            <w:tcBorders>
              <w:bottom w:val="single" w:sz="4" w:space="0" w:color="auto"/>
              <w:right w:val="single" w:sz="4" w:space="0" w:color="C0C0C0"/>
            </w:tcBorders>
          </w:tcPr>
          <w:p w14:paraId="2D968517" w14:textId="77777777" w:rsidR="00D56A5A" w:rsidRPr="00747BCE" w:rsidRDefault="00D56A5A" w:rsidP="006C3E78">
            <w:pPr>
              <w:pStyle w:val="DocInfoEntries"/>
            </w:pPr>
          </w:p>
        </w:tc>
        <w:sdt>
          <w:sdtPr>
            <w:id w:val="545415290"/>
            <w:placeholder>
              <w:docPart w:val="21FF1EAC605248CC959D7987C8EC086F"/>
            </w:placeholder>
          </w:sdtPr>
          <w:sdtEndPr/>
          <w:sdtContent>
            <w:tc>
              <w:tcPr>
                <w:tcW w:w="6848" w:type="dxa"/>
                <w:tcBorders>
                  <w:left w:val="single" w:sz="4" w:space="0" w:color="C0C0C0"/>
                  <w:bottom w:val="single" w:sz="4" w:space="0" w:color="auto"/>
                </w:tcBorders>
              </w:tcPr>
              <w:p w14:paraId="2D968518" w14:textId="3EF4FF23" w:rsidR="00D56A5A" w:rsidRPr="00753181" w:rsidRDefault="00FD3CAA" w:rsidP="00FD3CAA">
                <w:pPr>
                  <w:pStyle w:val="DocInfoEntries"/>
                </w:pPr>
                <w:r>
                  <w:t>Entura</w:t>
                </w:r>
              </w:p>
            </w:tc>
          </w:sdtContent>
        </w:sdt>
      </w:tr>
      <w:tr w:rsidR="00D56A5A" w:rsidRPr="00280C46" w14:paraId="2D96851C" w14:textId="77777777" w:rsidTr="00904514">
        <w:trPr>
          <w:trHeight w:val="247"/>
        </w:trPr>
        <w:tc>
          <w:tcPr>
            <w:tcW w:w="2224" w:type="dxa"/>
            <w:tcBorders>
              <w:top w:val="single" w:sz="4" w:space="0" w:color="auto"/>
              <w:right w:val="single" w:sz="4" w:space="0" w:color="C0C0C0"/>
            </w:tcBorders>
          </w:tcPr>
          <w:p w14:paraId="2D96851A" w14:textId="77777777" w:rsidR="00D56A5A" w:rsidRDefault="00D56A5A" w:rsidP="006C3E78">
            <w:pPr>
              <w:pStyle w:val="DocInfoEntries"/>
            </w:pPr>
            <w:r>
              <w:t>From</w:t>
            </w:r>
          </w:p>
        </w:tc>
        <w:sdt>
          <w:sdtPr>
            <w:id w:val="-1039360747"/>
            <w:placeholder>
              <w:docPart w:val="22D375A9469C4DB68EC4EFA293B739B9"/>
            </w:placeholder>
          </w:sdtPr>
          <w:sdtEndPr/>
          <w:sdtContent>
            <w:tc>
              <w:tcPr>
                <w:tcW w:w="6848" w:type="dxa"/>
                <w:tcBorders>
                  <w:top w:val="single" w:sz="4" w:space="0" w:color="auto"/>
                  <w:left w:val="single" w:sz="4" w:space="0" w:color="C0C0C0"/>
                </w:tcBorders>
              </w:tcPr>
              <w:p w14:paraId="2D96851B" w14:textId="3EF47D97" w:rsidR="00D56A5A" w:rsidRPr="00753181" w:rsidRDefault="003C4C16" w:rsidP="003C4C16">
                <w:pPr>
                  <w:pStyle w:val="DocInfoEntries"/>
                </w:pPr>
                <w:r>
                  <w:t>Greg Jackman</w:t>
                </w:r>
                <w:r w:rsidR="00234CE1">
                  <w:t xml:space="preserve">, </w:t>
                </w:r>
                <w:r>
                  <w:t>Heritage Consultant</w:t>
                </w:r>
                <w:r w:rsidR="00467AC0">
                  <w:t xml:space="preserve">, </w:t>
                </w:r>
                <w:r w:rsidR="00467AC0" w:rsidRPr="00467AC0">
                  <w:t>BSc</w:t>
                </w:r>
                <w:r>
                  <w:t>, Grad. Dip. Hum, Grad. Dip. SIS</w:t>
                </w:r>
                <w:r w:rsidR="00467AC0" w:rsidRPr="00467AC0">
                  <w:t xml:space="preserve"> (Hons)</w:t>
                </w:r>
                <w:r w:rsidR="002A7A1B">
                  <w:t xml:space="preserve"> Adv. Dip. Proj. Mgt M. ICOMOS</w:t>
                </w:r>
              </w:p>
            </w:tc>
          </w:sdtContent>
        </w:sdt>
      </w:tr>
      <w:tr w:rsidR="00D56A5A" w:rsidRPr="00280C46" w14:paraId="2D96851F" w14:textId="77777777" w:rsidTr="00904514">
        <w:trPr>
          <w:trHeight w:val="101"/>
        </w:trPr>
        <w:tc>
          <w:tcPr>
            <w:tcW w:w="2224" w:type="dxa"/>
            <w:tcBorders>
              <w:right w:val="single" w:sz="4" w:space="0" w:color="C0C0C0"/>
            </w:tcBorders>
          </w:tcPr>
          <w:p w14:paraId="2D96851D" w14:textId="77777777" w:rsidR="00D56A5A" w:rsidRDefault="00D56A5A" w:rsidP="006C3E78">
            <w:pPr>
              <w:pStyle w:val="DocInfoEntries"/>
            </w:pPr>
          </w:p>
        </w:tc>
        <w:tc>
          <w:tcPr>
            <w:tcW w:w="6848" w:type="dxa"/>
            <w:tcBorders>
              <w:left w:val="single" w:sz="4" w:space="0" w:color="C0C0C0"/>
            </w:tcBorders>
          </w:tcPr>
          <w:p w14:paraId="2D96851E" w14:textId="1923F275" w:rsidR="00D56A5A" w:rsidRDefault="00D56A5A" w:rsidP="005B3BC8">
            <w:pPr>
              <w:pStyle w:val="DocInfoEntries"/>
            </w:pPr>
            <w:r w:rsidRPr="003B1AFE">
              <w:rPr>
                <w:b/>
                <w:bCs/>
                <w:noProof/>
                <w:color w:val="E32119"/>
              </w:rPr>
              <w:t xml:space="preserve">p </w:t>
            </w:r>
            <w:r w:rsidR="005B3BC8">
              <w:rPr>
                <w:noProof/>
                <w:color w:val="525C54"/>
              </w:rPr>
              <w:t xml:space="preserve"> </w:t>
            </w:r>
            <w:r w:rsidR="005B3BC8" w:rsidRPr="008B573A">
              <w:rPr>
                <w:noProof/>
              </w:rPr>
              <w:t>04</w:t>
            </w:r>
            <w:r w:rsidR="00455EE6" w:rsidRPr="008B573A">
              <w:rPr>
                <w:noProof/>
              </w:rPr>
              <w:t>99</w:t>
            </w:r>
            <w:r w:rsidR="005B3BC8" w:rsidRPr="008B573A">
              <w:rPr>
                <w:noProof/>
              </w:rPr>
              <w:t xml:space="preserve"> </w:t>
            </w:r>
            <w:r w:rsidR="00455EE6" w:rsidRPr="008B573A">
              <w:rPr>
                <w:noProof/>
              </w:rPr>
              <w:t>541</w:t>
            </w:r>
            <w:r w:rsidR="005B3BC8" w:rsidRPr="008B573A">
              <w:rPr>
                <w:noProof/>
              </w:rPr>
              <w:t xml:space="preserve"> 4</w:t>
            </w:r>
            <w:r w:rsidR="00455EE6" w:rsidRPr="008B573A">
              <w:rPr>
                <w:noProof/>
              </w:rPr>
              <w:t>41</w:t>
            </w:r>
          </w:p>
        </w:tc>
      </w:tr>
      <w:tr w:rsidR="00D56A5A" w:rsidRPr="00280C46" w14:paraId="2D968522" w14:textId="77777777" w:rsidTr="00904514">
        <w:trPr>
          <w:trHeight w:val="101"/>
        </w:trPr>
        <w:tc>
          <w:tcPr>
            <w:tcW w:w="2224" w:type="dxa"/>
            <w:tcBorders>
              <w:bottom w:val="single" w:sz="8" w:space="0" w:color="auto"/>
              <w:right w:val="single" w:sz="4" w:space="0" w:color="C0C0C0"/>
            </w:tcBorders>
          </w:tcPr>
          <w:p w14:paraId="2D968520" w14:textId="77777777" w:rsidR="00D56A5A" w:rsidRDefault="00D56A5A" w:rsidP="006C3E78">
            <w:pPr>
              <w:pStyle w:val="DocInfoEntries"/>
            </w:pPr>
          </w:p>
        </w:tc>
        <w:tc>
          <w:tcPr>
            <w:tcW w:w="6848" w:type="dxa"/>
            <w:tcBorders>
              <w:left w:val="single" w:sz="4" w:space="0" w:color="C0C0C0"/>
              <w:bottom w:val="single" w:sz="8" w:space="0" w:color="auto"/>
            </w:tcBorders>
          </w:tcPr>
          <w:p w14:paraId="2D968521" w14:textId="3CED0760" w:rsidR="00D56A5A" w:rsidRDefault="00D56A5A" w:rsidP="003C4C16">
            <w:pPr>
              <w:pStyle w:val="DocInfoEntries"/>
            </w:pPr>
            <w:r w:rsidRPr="003B1AFE">
              <w:rPr>
                <w:b/>
                <w:bCs/>
                <w:noProof/>
                <w:color w:val="E32119"/>
                <w:szCs w:val="20"/>
              </w:rPr>
              <w:t xml:space="preserve">e </w:t>
            </w:r>
            <w:sdt>
              <w:sdtPr>
                <w:rPr>
                  <w:b/>
                  <w:bCs/>
                  <w:noProof/>
                  <w:color w:val="E32119"/>
                  <w:szCs w:val="20"/>
                </w:rPr>
                <w:id w:val="-1168788538"/>
                <w:placeholder>
                  <w:docPart w:val="8AA85B7B1BFE42F0A74EBCCB59794357"/>
                </w:placeholder>
              </w:sdtPr>
              <w:sdtEndPr/>
              <w:sdtContent>
                <w:r w:rsidR="003C4C16" w:rsidRPr="00236FCB">
                  <w:rPr>
                    <w:b/>
                    <w:bCs/>
                    <w:noProof/>
                    <w:color w:val="1F497D" w:themeColor="text2"/>
                    <w:szCs w:val="20"/>
                  </w:rPr>
                  <w:t>gondwanaheritagesolutions@gmail.com</w:t>
                </w:r>
              </w:sdtContent>
            </w:sdt>
          </w:p>
        </w:tc>
      </w:tr>
      <w:tr w:rsidR="00D56A5A" w:rsidRPr="00280C46" w14:paraId="2D968525" w14:textId="77777777" w:rsidTr="00904514">
        <w:trPr>
          <w:trHeight w:val="101"/>
        </w:trPr>
        <w:tc>
          <w:tcPr>
            <w:tcW w:w="2224" w:type="dxa"/>
            <w:tcBorders>
              <w:top w:val="single" w:sz="8" w:space="0" w:color="auto"/>
              <w:right w:val="single" w:sz="4" w:space="0" w:color="C0C0C0"/>
            </w:tcBorders>
          </w:tcPr>
          <w:p w14:paraId="2D968523" w14:textId="77777777" w:rsidR="00D56A5A" w:rsidRPr="00871A8D" w:rsidRDefault="00D56A5A" w:rsidP="006C3E78">
            <w:pPr>
              <w:pStyle w:val="DocInfoEntries"/>
            </w:pPr>
            <w:r>
              <w:t>Project</w:t>
            </w:r>
          </w:p>
        </w:tc>
        <w:sdt>
          <w:sdtPr>
            <w:id w:val="760408028"/>
            <w:placeholder>
              <w:docPart w:val="54AC267FE06243E99F0374AA554C15D5"/>
            </w:placeholder>
          </w:sdtPr>
          <w:sdtEndPr/>
          <w:sdtContent>
            <w:tc>
              <w:tcPr>
                <w:tcW w:w="6848" w:type="dxa"/>
                <w:tcBorders>
                  <w:top w:val="single" w:sz="8" w:space="0" w:color="auto"/>
                  <w:left w:val="single" w:sz="4" w:space="0" w:color="C0C0C0"/>
                </w:tcBorders>
              </w:tcPr>
              <w:p w14:paraId="2D968524" w14:textId="098894F2" w:rsidR="00D56A5A" w:rsidRPr="00753181" w:rsidRDefault="00FD3CAA" w:rsidP="00FD3CAA">
                <w:pPr>
                  <w:pStyle w:val="DocInfoEntries"/>
                </w:pPr>
                <w:r>
                  <w:t>BoTN Tribute geotechnical investigations</w:t>
                </w:r>
              </w:p>
            </w:tc>
          </w:sdtContent>
        </w:sdt>
      </w:tr>
      <w:tr w:rsidR="00D56A5A" w:rsidRPr="00280C46" w14:paraId="2D968528" w14:textId="77777777" w:rsidTr="00904514">
        <w:trPr>
          <w:trHeight w:val="205"/>
        </w:trPr>
        <w:tc>
          <w:tcPr>
            <w:tcW w:w="2224" w:type="dxa"/>
            <w:tcBorders>
              <w:right w:val="single" w:sz="4" w:space="0" w:color="C0C0C0"/>
            </w:tcBorders>
          </w:tcPr>
          <w:p w14:paraId="2D968526" w14:textId="77777777" w:rsidR="00D56A5A" w:rsidRPr="00747BCE" w:rsidRDefault="00D56A5A" w:rsidP="006C3E78">
            <w:pPr>
              <w:pStyle w:val="DocInfoEntries"/>
            </w:pPr>
            <w:r w:rsidRPr="00747BCE">
              <w:t>Project reference</w:t>
            </w:r>
          </w:p>
        </w:tc>
        <w:tc>
          <w:tcPr>
            <w:tcW w:w="6848" w:type="dxa"/>
            <w:tcBorders>
              <w:left w:val="single" w:sz="4" w:space="0" w:color="C0C0C0"/>
            </w:tcBorders>
          </w:tcPr>
          <w:sdt>
            <w:sdtPr>
              <w:id w:val="1470479185"/>
              <w:placeholder>
                <w:docPart w:val="993B59832E5745A5ADD74E3C4B4A0841"/>
              </w:placeholder>
            </w:sdtPr>
            <w:sdtEndPr>
              <w:rPr>
                <w:bCs/>
                <w:lang w:val="en-US"/>
              </w:rPr>
            </w:sdtEndPr>
            <w:sdtContent>
              <w:p w14:paraId="2D968527" w14:textId="1B153F17" w:rsidR="00D56A5A" w:rsidRPr="00753181" w:rsidRDefault="006701A3" w:rsidP="00932069">
                <w:pPr>
                  <w:pStyle w:val="DocInfoEntries"/>
                </w:pPr>
                <w:r>
                  <w:t>TBA</w:t>
                </w:r>
              </w:p>
            </w:sdtContent>
          </w:sdt>
        </w:tc>
      </w:tr>
      <w:tr w:rsidR="00D56A5A" w:rsidRPr="00280C46" w14:paraId="2D96852B" w14:textId="77777777" w:rsidTr="00904514">
        <w:trPr>
          <w:trHeight w:val="164"/>
        </w:trPr>
        <w:tc>
          <w:tcPr>
            <w:tcW w:w="2224" w:type="dxa"/>
            <w:tcBorders>
              <w:bottom w:val="single" w:sz="4" w:space="0" w:color="auto"/>
              <w:right w:val="single" w:sz="4" w:space="0" w:color="C0C0C0"/>
            </w:tcBorders>
          </w:tcPr>
          <w:p w14:paraId="2D968529" w14:textId="77777777" w:rsidR="00D56A5A" w:rsidRPr="00747BCE" w:rsidRDefault="00D56A5A" w:rsidP="006C3E78">
            <w:pPr>
              <w:pStyle w:val="DocInfoEntries"/>
            </w:pPr>
            <w:r w:rsidRPr="00747BCE">
              <w:t>Document number</w:t>
            </w:r>
          </w:p>
        </w:tc>
        <w:sdt>
          <w:sdtPr>
            <w:id w:val="-1940975725"/>
            <w:placeholder>
              <w:docPart w:val="E6D3A632BBFE4BFEB9C899C0C928E720"/>
            </w:placeholder>
          </w:sdtPr>
          <w:sdtEndPr/>
          <w:sdtContent>
            <w:sdt>
              <w:sdtPr>
                <w:id w:val="-395055435"/>
                <w:placeholder>
                  <w:docPart w:val="DED7BA05960042D79EA9B98F076A20E5"/>
                </w:placeholder>
              </w:sdtPr>
              <w:sdtEndPr/>
              <w:sdtContent>
                <w:tc>
                  <w:tcPr>
                    <w:tcW w:w="6848" w:type="dxa"/>
                    <w:tcBorders>
                      <w:left w:val="single" w:sz="4" w:space="0" w:color="C0C0C0"/>
                      <w:bottom w:val="single" w:sz="4" w:space="0" w:color="auto"/>
                    </w:tcBorders>
                  </w:tcPr>
                  <w:p w14:paraId="2D96852A" w14:textId="735FD0D5" w:rsidR="00D56A5A" w:rsidRPr="00753181" w:rsidRDefault="00FD3CAA" w:rsidP="006C3E78">
                    <w:pPr>
                      <w:pStyle w:val="DocInfoEntries"/>
                    </w:pPr>
                    <w:r>
                      <w:t>TBA</w:t>
                    </w:r>
                  </w:p>
                </w:tc>
              </w:sdtContent>
            </w:sdt>
          </w:sdtContent>
        </w:sdt>
      </w:tr>
      <w:tr w:rsidR="00745646" w:rsidRPr="00280C46" w14:paraId="545A3B3F" w14:textId="77777777" w:rsidTr="00904514">
        <w:trPr>
          <w:trHeight w:val="164"/>
        </w:trPr>
        <w:tc>
          <w:tcPr>
            <w:tcW w:w="2224" w:type="dxa"/>
            <w:tcBorders>
              <w:bottom w:val="single" w:sz="4" w:space="0" w:color="auto"/>
              <w:right w:val="single" w:sz="4" w:space="0" w:color="C0C0C0"/>
            </w:tcBorders>
          </w:tcPr>
          <w:p w14:paraId="28DA93C3" w14:textId="4603F53B" w:rsidR="00745646" w:rsidRPr="00747BCE" w:rsidRDefault="00745646" w:rsidP="006C3E78">
            <w:pPr>
              <w:pStyle w:val="DocInfoEntries"/>
            </w:pPr>
            <w:r>
              <w:t>Date</w:t>
            </w:r>
          </w:p>
        </w:tc>
        <w:tc>
          <w:tcPr>
            <w:tcW w:w="6848" w:type="dxa"/>
            <w:tcBorders>
              <w:left w:val="single" w:sz="4" w:space="0" w:color="C0C0C0"/>
              <w:bottom w:val="single" w:sz="4" w:space="0" w:color="auto"/>
            </w:tcBorders>
          </w:tcPr>
          <w:p w14:paraId="64636658" w14:textId="1AE96E94" w:rsidR="00745646" w:rsidRDefault="00FD3CAA" w:rsidP="00FD3CAA">
            <w:pPr>
              <w:pStyle w:val="DocInfoEntries"/>
            </w:pPr>
            <w:r>
              <w:t>2</w:t>
            </w:r>
            <w:r w:rsidR="00196B66">
              <w:t>4 March</w:t>
            </w:r>
            <w:r>
              <w:t xml:space="preserve"> 2020</w:t>
            </w:r>
          </w:p>
        </w:tc>
      </w:tr>
      <w:tr w:rsidR="00D56A5A" w:rsidRPr="00280C46" w14:paraId="2D96852E" w14:textId="77777777" w:rsidTr="00904514">
        <w:trPr>
          <w:trHeight w:val="217"/>
        </w:trPr>
        <w:tc>
          <w:tcPr>
            <w:tcW w:w="2224" w:type="dxa"/>
            <w:tcBorders>
              <w:top w:val="single" w:sz="4" w:space="0" w:color="auto"/>
              <w:bottom w:val="single" w:sz="8" w:space="0" w:color="auto"/>
              <w:right w:val="single" w:sz="4" w:space="0" w:color="C0C0C0"/>
            </w:tcBorders>
          </w:tcPr>
          <w:p w14:paraId="2D96852C" w14:textId="77777777" w:rsidR="00D56A5A" w:rsidRPr="00747BCE" w:rsidRDefault="00D56A5A" w:rsidP="006C3E78">
            <w:pPr>
              <w:pStyle w:val="DocInfoEntries"/>
            </w:pPr>
            <w:r>
              <w:t>Subject</w:t>
            </w:r>
          </w:p>
        </w:tc>
        <w:sdt>
          <w:sdtPr>
            <w:id w:val="-1867510843"/>
            <w:placeholder>
              <w:docPart w:val="6C7A2159C3F0435F91FF3B876176DCF1"/>
            </w:placeholder>
          </w:sdtPr>
          <w:sdtEndPr/>
          <w:sdtContent>
            <w:sdt>
              <w:sdtPr>
                <w:id w:val="1530604259"/>
                <w:placeholder>
                  <w:docPart w:val="26ECA31699DF44E9AE0B588FE3630F0E"/>
                </w:placeholder>
              </w:sdtPr>
              <w:sdtEndPr/>
              <w:sdtContent>
                <w:tc>
                  <w:tcPr>
                    <w:tcW w:w="6848" w:type="dxa"/>
                    <w:tcBorders>
                      <w:top w:val="single" w:sz="4" w:space="0" w:color="auto"/>
                      <w:left w:val="single" w:sz="4" w:space="0" w:color="C0C0C0"/>
                      <w:bottom w:val="single" w:sz="8" w:space="0" w:color="auto"/>
                    </w:tcBorders>
                  </w:tcPr>
                  <w:p w14:paraId="2D96852D" w14:textId="7C9F5B3E" w:rsidR="00D56A5A" w:rsidRDefault="00FD3CAA" w:rsidP="003C4C16">
                    <w:pPr>
                      <w:pStyle w:val="DocInfoEntries"/>
                    </w:pPr>
                    <w:r>
                      <w:t xml:space="preserve">Tribute geotechnical investigation sites Aboriginal heritage assessment TR-BH01, TR-TP01 </w:t>
                    </w:r>
                    <w:r w:rsidR="00246AA6">
                      <w:t>&amp;</w:t>
                    </w:r>
                    <w:r>
                      <w:t xml:space="preserve"> TR-BH06</w:t>
                    </w:r>
                    <w:r w:rsidR="00196B66">
                      <w:t xml:space="preserve"> </w:t>
                    </w:r>
                    <w:r w:rsidR="00246AA6">
                      <w:t xml:space="preserve">field assessment </w:t>
                    </w:r>
                    <w:r w:rsidR="00196B66">
                      <w:t>and TR-BH02A</w:t>
                    </w:r>
                    <w:r w:rsidR="00246AA6">
                      <w:t xml:space="preserve"> &amp;</w:t>
                    </w:r>
                    <w:r w:rsidR="00196B66">
                      <w:t xml:space="preserve"> TR-BH03</w:t>
                    </w:r>
                    <w:r w:rsidR="00246AA6">
                      <w:t xml:space="preserve"> desktop</w:t>
                    </w:r>
                  </w:p>
                </w:tc>
              </w:sdtContent>
            </w:sdt>
          </w:sdtContent>
        </w:sdt>
      </w:tr>
    </w:tbl>
    <w:p w14:paraId="2D96852F" w14:textId="77777777" w:rsidR="00FB0B64" w:rsidRPr="00FE6189" w:rsidRDefault="00FB0B64" w:rsidP="00904514">
      <w:pPr>
        <w:pStyle w:val="Heading1"/>
        <w:ind w:right="-568"/>
        <w:rPr>
          <w:sz w:val="28"/>
          <w:szCs w:val="28"/>
        </w:rPr>
      </w:pPr>
      <w:r w:rsidRPr="00FE6189">
        <w:rPr>
          <w:sz w:val="28"/>
          <w:szCs w:val="28"/>
        </w:rPr>
        <w:t>Introduction</w:t>
      </w:r>
    </w:p>
    <w:p w14:paraId="1DAFE0FF" w14:textId="4868F919" w:rsidR="00E918DD" w:rsidRDefault="006005BD"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In accordance with </w:t>
      </w:r>
      <w:r w:rsidR="00E918DD">
        <w:rPr>
          <w:rFonts w:asciiTheme="minorHAnsi" w:hAnsiTheme="minorHAnsi" w:cstheme="minorHAnsi"/>
          <w:sz w:val="22"/>
          <w:szCs w:val="22"/>
        </w:rPr>
        <w:t xml:space="preserve">Entura’s </w:t>
      </w:r>
      <w:r>
        <w:rPr>
          <w:rFonts w:asciiTheme="minorHAnsi" w:hAnsiTheme="minorHAnsi" w:cstheme="minorHAnsi"/>
          <w:sz w:val="22"/>
          <w:szCs w:val="22"/>
        </w:rPr>
        <w:t>instructions</w:t>
      </w:r>
      <w:r w:rsidR="00E918DD">
        <w:rPr>
          <w:rFonts w:asciiTheme="minorHAnsi" w:hAnsiTheme="minorHAnsi" w:cstheme="minorHAnsi"/>
          <w:sz w:val="22"/>
          <w:szCs w:val="22"/>
        </w:rPr>
        <w:t xml:space="preserve"> dated 14 February 2020</w:t>
      </w:r>
      <w:r>
        <w:rPr>
          <w:rFonts w:asciiTheme="minorHAnsi" w:hAnsiTheme="minorHAnsi" w:cstheme="minorHAnsi"/>
          <w:sz w:val="22"/>
          <w:szCs w:val="22"/>
        </w:rPr>
        <w:t xml:space="preserve">, an </w:t>
      </w:r>
      <w:r w:rsidR="00246AA6">
        <w:rPr>
          <w:rFonts w:asciiTheme="minorHAnsi" w:hAnsiTheme="minorHAnsi" w:cstheme="minorHAnsi"/>
          <w:sz w:val="22"/>
          <w:szCs w:val="22"/>
        </w:rPr>
        <w:t xml:space="preserve">field </w:t>
      </w:r>
      <w:r>
        <w:rPr>
          <w:rFonts w:asciiTheme="minorHAnsi" w:hAnsiTheme="minorHAnsi" w:cstheme="minorHAnsi"/>
          <w:sz w:val="22"/>
          <w:szCs w:val="22"/>
        </w:rPr>
        <w:t xml:space="preserve">assessment was conducted on </w:t>
      </w:r>
      <w:r w:rsidR="00E918DD">
        <w:rPr>
          <w:rFonts w:asciiTheme="minorHAnsi" w:hAnsiTheme="minorHAnsi" w:cstheme="minorHAnsi"/>
          <w:sz w:val="22"/>
          <w:szCs w:val="22"/>
        </w:rPr>
        <w:t xml:space="preserve">21 February </w:t>
      </w:r>
      <w:r w:rsidR="00CE5427">
        <w:rPr>
          <w:rFonts w:asciiTheme="minorHAnsi" w:hAnsiTheme="minorHAnsi" w:cstheme="minorHAnsi"/>
          <w:sz w:val="22"/>
          <w:szCs w:val="22"/>
        </w:rPr>
        <w:t xml:space="preserve">2020 </w:t>
      </w:r>
      <w:r w:rsidR="00E918DD">
        <w:rPr>
          <w:rFonts w:asciiTheme="minorHAnsi" w:hAnsiTheme="minorHAnsi" w:cstheme="minorHAnsi"/>
          <w:sz w:val="22"/>
          <w:szCs w:val="22"/>
        </w:rPr>
        <w:t xml:space="preserve">of proposed Tribute pumped hydro geotechnical investigation sites TR-BH01 and TR-TP01 located at the proposed intake at Lake Plimsoll, and TR-BH06 located over the proposed underground PHES power station beside the Tribute PS access road.  </w:t>
      </w:r>
    </w:p>
    <w:p w14:paraId="5990E76B" w14:textId="71632A17" w:rsidR="006005BD" w:rsidRDefault="00E918DD"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Cursory informal inspections were </w:t>
      </w:r>
      <w:r w:rsidR="00CE5427">
        <w:rPr>
          <w:rFonts w:asciiTheme="minorHAnsi" w:hAnsiTheme="minorHAnsi" w:cstheme="minorHAnsi"/>
          <w:sz w:val="22"/>
          <w:szCs w:val="22"/>
        </w:rPr>
        <w:t xml:space="preserve">also </w:t>
      </w:r>
      <w:r>
        <w:rPr>
          <w:rFonts w:asciiTheme="minorHAnsi" w:hAnsiTheme="minorHAnsi" w:cstheme="minorHAnsi"/>
          <w:sz w:val="22"/>
          <w:szCs w:val="22"/>
        </w:rPr>
        <w:t xml:space="preserve">undertaken of two areas proposed for </w:t>
      </w:r>
      <w:r w:rsidR="00CE5427">
        <w:rPr>
          <w:rFonts w:asciiTheme="minorHAnsi" w:hAnsiTheme="minorHAnsi" w:cstheme="minorHAnsi"/>
          <w:sz w:val="22"/>
          <w:szCs w:val="22"/>
        </w:rPr>
        <w:t>open-cut</w:t>
      </w:r>
      <w:r>
        <w:rPr>
          <w:rFonts w:asciiTheme="minorHAnsi" w:hAnsiTheme="minorHAnsi" w:cstheme="minorHAnsi"/>
          <w:sz w:val="22"/>
          <w:szCs w:val="22"/>
        </w:rPr>
        <w:t xml:space="preserve"> excavations, including the Lake Plimsoll intake and proposed new switchyard above the</w:t>
      </w:r>
      <w:r w:rsidR="00CE5427">
        <w:rPr>
          <w:rFonts w:asciiTheme="minorHAnsi" w:hAnsiTheme="minorHAnsi" w:cstheme="minorHAnsi"/>
          <w:sz w:val="22"/>
          <w:szCs w:val="22"/>
        </w:rPr>
        <w:t xml:space="preserve"> underground</w:t>
      </w:r>
      <w:r>
        <w:rPr>
          <w:rFonts w:asciiTheme="minorHAnsi" w:hAnsiTheme="minorHAnsi" w:cstheme="minorHAnsi"/>
          <w:sz w:val="22"/>
          <w:szCs w:val="22"/>
        </w:rPr>
        <w:t xml:space="preserve"> power station. The area proposed for the </w:t>
      </w:r>
      <w:r w:rsidR="00CE5427">
        <w:rPr>
          <w:rFonts w:asciiTheme="minorHAnsi" w:hAnsiTheme="minorHAnsi" w:cstheme="minorHAnsi"/>
          <w:sz w:val="22"/>
          <w:szCs w:val="22"/>
        </w:rPr>
        <w:t>L</w:t>
      </w:r>
      <w:r>
        <w:rPr>
          <w:rFonts w:asciiTheme="minorHAnsi" w:hAnsiTheme="minorHAnsi" w:cstheme="minorHAnsi"/>
          <w:sz w:val="22"/>
          <w:szCs w:val="22"/>
        </w:rPr>
        <w:t>ake Mackintosh intake was not accessible at the time of inspection.</w:t>
      </w:r>
    </w:p>
    <w:p w14:paraId="7E512978" w14:textId="0452B84F" w:rsidR="006005BD" w:rsidRPr="00FE6189" w:rsidRDefault="00CE5427" w:rsidP="00904514">
      <w:pPr>
        <w:pStyle w:val="Heading1"/>
        <w:ind w:right="-568"/>
        <w:rPr>
          <w:sz w:val="28"/>
          <w:szCs w:val="28"/>
        </w:rPr>
      </w:pPr>
      <w:r>
        <w:rPr>
          <w:sz w:val="28"/>
          <w:szCs w:val="28"/>
        </w:rPr>
        <w:t>Field assessment m</w:t>
      </w:r>
      <w:r w:rsidR="006005BD">
        <w:rPr>
          <w:sz w:val="28"/>
          <w:szCs w:val="28"/>
        </w:rPr>
        <w:t>ethodology</w:t>
      </w:r>
    </w:p>
    <w:p w14:paraId="6A03FC55" w14:textId="5586728E" w:rsidR="006005BD" w:rsidRDefault="006005BD"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The site assessment</w:t>
      </w:r>
      <w:r w:rsidR="002E633F">
        <w:rPr>
          <w:rFonts w:asciiTheme="minorHAnsi" w:hAnsiTheme="minorHAnsi" w:cstheme="minorHAnsi"/>
          <w:sz w:val="22"/>
          <w:szCs w:val="22"/>
        </w:rPr>
        <w:t>s were</w:t>
      </w:r>
      <w:r>
        <w:rPr>
          <w:rFonts w:asciiTheme="minorHAnsi" w:hAnsiTheme="minorHAnsi" w:cstheme="minorHAnsi"/>
          <w:sz w:val="22"/>
          <w:szCs w:val="22"/>
        </w:rPr>
        <w:t xml:space="preserve"> conducted </w:t>
      </w:r>
      <w:r w:rsidR="006701A3">
        <w:rPr>
          <w:rFonts w:asciiTheme="minorHAnsi" w:hAnsiTheme="minorHAnsi" w:cstheme="minorHAnsi"/>
          <w:sz w:val="22"/>
          <w:szCs w:val="22"/>
        </w:rPr>
        <w:t xml:space="preserve">by </w:t>
      </w:r>
      <w:r>
        <w:rPr>
          <w:rFonts w:asciiTheme="minorHAnsi" w:hAnsiTheme="minorHAnsi" w:cstheme="minorHAnsi"/>
          <w:sz w:val="22"/>
          <w:szCs w:val="22"/>
        </w:rPr>
        <w:t xml:space="preserve">Consulting Archaeologist </w:t>
      </w:r>
      <w:r w:rsidR="00D33F7D">
        <w:rPr>
          <w:rFonts w:asciiTheme="minorHAnsi" w:hAnsiTheme="minorHAnsi" w:cstheme="minorHAnsi"/>
          <w:sz w:val="22"/>
          <w:szCs w:val="22"/>
        </w:rPr>
        <w:t xml:space="preserve">(CA) </w:t>
      </w:r>
      <w:r>
        <w:rPr>
          <w:rFonts w:asciiTheme="minorHAnsi" w:hAnsiTheme="minorHAnsi" w:cstheme="minorHAnsi"/>
          <w:sz w:val="22"/>
          <w:szCs w:val="22"/>
        </w:rPr>
        <w:t xml:space="preserve">Greg </w:t>
      </w:r>
      <w:r w:rsidR="006701A3">
        <w:rPr>
          <w:rFonts w:asciiTheme="minorHAnsi" w:hAnsiTheme="minorHAnsi" w:cstheme="minorHAnsi"/>
          <w:sz w:val="22"/>
          <w:szCs w:val="22"/>
        </w:rPr>
        <w:t>J</w:t>
      </w:r>
      <w:r>
        <w:rPr>
          <w:rFonts w:asciiTheme="minorHAnsi" w:hAnsiTheme="minorHAnsi" w:cstheme="minorHAnsi"/>
          <w:sz w:val="22"/>
          <w:szCs w:val="22"/>
        </w:rPr>
        <w:t xml:space="preserve">ackman and Aboriginal Heritage Officer </w:t>
      </w:r>
      <w:r w:rsidR="00D33F7D">
        <w:rPr>
          <w:rFonts w:asciiTheme="minorHAnsi" w:hAnsiTheme="minorHAnsi" w:cstheme="minorHAnsi"/>
          <w:sz w:val="22"/>
          <w:szCs w:val="22"/>
        </w:rPr>
        <w:t xml:space="preserve">(AHO) </w:t>
      </w:r>
      <w:r w:rsidR="002E633F">
        <w:rPr>
          <w:rFonts w:asciiTheme="minorHAnsi" w:hAnsiTheme="minorHAnsi" w:cstheme="minorHAnsi"/>
          <w:sz w:val="22"/>
          <w:szCs w:val="22"/>
        </w:rPr>
        <w:t>Caleb Pedder by me</w:t>
      </w:r>
      <w:r>
        <w:rPr>
          <w:rFonts w:asciiTheme="minorHAnsi" w:hAnsiTheme="minorHAnsi" w:cstheme="minorHAnsi"/>
          <w:sz w:val="22"/>
          <w:szCs w:val="22"/>
        </w:rPr>
        <w:t xml:space="preserve">ans of </w:t>
      </w:r>
      <w:r w:rsidR="002E633F">
        <w:rPr>
          <w:rFonts w:asciiTheme="minorHAnsi" w:hAnsiTheme="minorHAnsi" w:cstheme="minorHAnsi"/>
          <w:sz w:val="22"/>
          <w:szCs w:val="22"/>
        </w:rPr>
        <w:t>meandering</w:t>
      </w:r>
      <w:r w:rsidR="00D33F7D">
        <w:rPr>
          <w:rFonts w:asciiTheme="minorHAnsi" w:hAnsiTheme="minorHAnsi" w:cstheme="minorHAnsi"/>
          <w:sz w:val="22"/>
          <w:szCs w:val="22"/>
        </w:rPr>
        <w:t xml:space="preserve"> </w:t>
      </w:r>
      <w:r>
        <w:rPr>
          <w:rFonts w:asciiTheme="minorHAnsi" w:hAnsiTheme="minorHAnsi" w:cstheme="minorHAnsi"/>
          <w:sz w:val="22"/>
          <w:szCs w:val="22"/>
        </w:rPr>
        <w:t>pedestrian transects in accordance with Aboriginal Heritage Tasmania’s</w:t>
      </w:r>
      <w:r w:rsidR="002C60FF">
        <w:rPr>
          <w:rFonts w:asciiTheme="minorHAnsi" w:hAnsiTheme="minorHAnsi" w:cstheme="minorHAnsi"/>
          <w:sz w:val="22"/>
          <w:szCs w:val="22"/>
        </w:rPr>
        <w:t xml:space="preserve"> (AHT)</w:t>
      </w:r>
      <w:r>
        <w:rPr>
          <w:rFonts w:asciiTheme="minorHAnsi" w:hAnsiTheme="minorHAnsi" w:cstheme="minorHAnsi"/>
          <w:sz w:val="22"/>
          <w:szCs w:val="22"/>
        </w:rPr>
        <w:t xml:space="preserve"> </w:t>
      </w:r>
      <w:r w:rsidRPr="006005BD">
        <w:rPr>
          <w:rFonts w:asciiTheme="minorHAnsi" w:hAnsiTheme="minorHAnsi" w:cstheme="minorHAnsi"/>
          <w:i/>
          <w:sz w:val="22"/>
          <w:szCs w:val="22"/>
        </w:rPr>
        <w:t xml:space="preserve">Standards and Procedures </w:t>
      </w:r>
      <w:r w:rsidR="006701A3">
        <w:rPr>
          <w:rFonts w:asciiTheme="minorHAnsi" w:hAnsiTheme="minorHAnsi" w:cstheme="minorHAnsi"/>
          <w:i/>
          <w:sz w:val="22"/>
          <w:szCs w:val="22"/>
        </w:rPr>
        <w:t xml:space="preserve">June </w:t>
      </w:r>
      <w:r w:rsidRPr="006005BD">
        <w:rPr>
          <w:rFonts w:asciiTheme="minorHAnsi" w:hAnsiTheme="minorHAnsi" w:cstheme="minorHAnsi"/>
          <w:i/>
          <w:sz w:val="22"/>
          <w:szCs w:val="22"/>
        </w:rPr>
        <w:t>2018</w:t>
      </w:r>
      <w:r>
        <w:rPr>
          <w:rFonts w:asciiTheme="minorHAnsi" w:hAnsiTheme="minorHAnsi" w:cstheme="minorHAnsi"/>
          <w:sz w:val="22"/>
          <w:szCs w:val="22"/>
        </w:rPr>
        <w:t>.</w:t>
      </w:r>
    </w:p>
    <w:p w14:paraId="0ABEBA34" w14:textId="4D520A15" w:rsidR="00F17BB0" w:rsidRDefault="00CE5427"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Ground s</w:t>
      </w:r>
      <w:r w:rsidR="00F17BB0">
        <w:rPr>
          <w:rFonts w:asciiTheme="minorHAnsi" w:hAnsiTheme="minorHAnsi" w:cstheme="minorHAnsi"/>
          <w:sz w:val="22"/>
          <w:szCs w:val="22"/>
        </w:rPr>
        <w:t xml:space="preserve">urveys focussed on a 20m radius of the proposed </w:t>
      </w:r>
      <w:r>
        <w:rPr>
          <w:rFonts w:asciiTheme="minorHAnsi" w:hAnsiTheme="minorHAnsi" w:cstheme="minorHAnsi"/>
          <w:sz w:val="22"/>
          <w:szCs w:val="22"/>
        </w:rPr>
        <w:t>TR-BH01, TR-TP01, TR BH06 geote</w:t>
      </w:r>
      <w:r w:rsidR="00F17BB0">
        <w:rPr>
          <w:rFonts w:asciiTheme="minorHAnsi" w:hAnsiTheme="minorHAnsi" w:cstheme="minorHAnsi"/>
          <w:sz w:val="22"/>
          <w:szCs w:val="22"/>
        </w:rPr>
        <w:t>chnical investigation sites</w:t>
      </w:r>
      <w:r>
        <w:rPr>
          <w:rFonts w:asciiTheme="minorHAnsi" w:hAnsiTheme="minorHAnsi" w:cstheme="minorHAnsi"/>
          <w:sz w:val="22"/>
          <w:szCs w:val="22"/>
        </w:rPr>
        <w:t xml:space="preserve"> based on coordinates provided by Entura. </w:t>
      </w:r>
      <w:r w:rsidR="008D3E32">
        <w:rPr>
          <w:rFonts w:asciiTheme="minorHAnsi" w:hAnsiTheme="minorHAnsi" w:cstheme="minorHAnsi"/>
          <w:sz w:val="22"/>
          <w:szCs w:val="22"/>
        </w:rPr>
        <w:t>Ground</w:t>
      </w:r>
      <w:r w:rsidR="00F17BB0">
        <w:rPr>
          <w:rFonts w:asciiTheme="minorHAnsi" w:hAnsiTheme="minorHAnsi" w:cstheme="minorHAnsi"/>
          <w:sz w:val="22"/>
          <w:szCs w:val="22"/>
        </w:rPr>
        <w:t xml:space="preserve"> S</w:t>
      </w:r>
      <w:r w:rsidR="008D3E32">
        <w:rPr>
          <w:rFonts w:asciiTheme="minorHAnsi" w:hAnsiTheme="minorHAnsi" w:cstheme="minorHAnsi"/>
          <w:sz w:val="22"/>
          <w:szCs w:val="22"/>
        </w:rPr>
        <w:t xml:space="preserve">urface </w:t>
      </w:r>
      <w:r w:rsidR="00F17BB0">
        <w:rPr>
          <w:rFonts w:asciiTheme="minorHAnsi" w:hAnsiTheme="minorHAnsi" w:cstheme="minorHAnsi"/>
          <w:sz w:val="22"/>
          <w:szCs w:val="22"/>
        </w:rPr>
        <w:t>V</w:t>
      </w:r>
      <w:r w:rsidR="008D3E32">
        <w:rPr>
          <w:rFonts w:asciiTheme="minorHAnsi" w:hAnsiTheme="minorHAnsi" w:cstheme="minorHAnsi"/>
          <w:sz w:val="22"/>
          <w:szCs w:val="22"/>
        </w:rPr>
        <w:t xml:space="preserve">isibility </w:t>
      </w:r>
      <w:r w:rsidR="00F17BB0">
        <w:rPr>
          <w:rFonts w:asciiTheme="minorHAnsi" w:hAnsiTheme="minorHAnsi" w:cstheme="minorHAnsi"/>
          <w:sz w:val="22"/>
          <w:szCs w:val="22"/>
        </w:rPr>
        <w:t xml:space="preserve">(GSV) </w:t>
      </w:r>
      <w:r w:rsidR="006701A3">
        <w:rPr>
          <w:rFonts w:asciiTheme="minorHAnsi" w:hAnsiTheme="minorHAnsi" w:cstheme="minorHAnsi"/>
          <w:sz w:val="22"/>
          <w:szCs w:val="22"/>
        </w:rPr>
        <w:t xml:space="preserve">was </w:t>
      </w:r>
      <w:r w:rsidR="00F17BB0">
        <w:rPr>
          <w:rFonts w:asciiTheme="minorHAnsi" w:hAnsiTheme="minorHAnsi" w:cstheme="minorHAnsi"/>
          <w:sz w:val="22"/>
          <w:szCs w:val="22"/>
        </w:rPr>
        <w:t>extremely poor at all proposed investigation sites. GSV at Lake Plimsoll was effectively 0% at the TR-BH01 location on the top side of the intake access road, increasing to 10% locally where it appeared an excavator had driven through the area.</w:t>
      </w:r>
    </w:p>
    <w:p w14:paraId="1345B003" w14:textId="0D188452" w:rsidR="00F17BB0" w:rsidRDefault="00F17BB0"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GSV at the TR-TP01 location on the lake shore was </w:t>
      </w:r>
      <w:r w:rsidR="00900462">
        <w:rPr>
          <w:rFonts w:asciiTheme="minorHAnsi" w:hAnsiTheme="minorHAnsi" w:cstheme="minorHAnsi"/>
          <w:sz w:val="22"/>
          <w:szCs w:val="22"/>
        </w:rPr>
        <w:t>similarly</w:t>
      </w:r>
      <w:r>
        <w:rPr>
          <w:rFonts w:asciiTheme="minorHAnsi" w:hAnsiTheme="minorHAnsi" w:cstheme="minorHAnsi"/>
          <w:sz w:val="22"/>
          <w:szCs w:val="22"/>
        </w:rPr>
        <w:t xml:space="preserve"> </w:t>
      </w:r>
      <w:proofErr w:type="gramStart"/>
      <w:r>
        <w:rPr>
          <w:rFonts w:asciiTheme="minorHAnsi" w:hAnsiTheme="minorHAnsi" w:cstheme="minorHAnsi"/>
          <w:sz w:val="22"/>
          <w:szCs w:val="22"/>
        </w:rPr>
        <w:t>0%, but</w:t>
      </w:r>
      <w:proofErr w:type="gramEnd"/>
      <w:r>
        <w:rPr>
          <w:rFonts w:asciiTheme="minorHAnsi" w:hAnsiTheme="minorHAnsi" w:cstheme="minorHAnsi"/>
          <w:sz w:val="22"/>
          <w:szCs w:val="22"/>
        </w:rPr>
        <w:t xml:space="preserve"> </w:t>
      </w:r>
      <w:r w:rsidR="00900462">
        <w:rPr>
          <w:rFonts w:asciiTheme="minorHAnsi" w:hAnsiTheme="minorHAnsi" w:cstheme="minorHAnsi"/>
          <w:sz w:val="22"/>
          <w:szCs w:val="22"/>
        </w:rPr>
        <w:t>increased</w:t>
      </w:r>
      <w:r>
        <w:rPr>
          <w:rFonts w:asciiTheme="minorHAnsi" w:hAnsiTheme="minorHAnsi" w:cstheme="minorHAnsi"/>
          <w:sz w:val="22"/>
          <w:szCs w:val="22"/>
        </w:rPr>
        <w:t xml:space="preserve"> to 50% along the lake shore </w:t>
      </w:r>
      <w:r w:rsidR="00CE5427">
        <w:rPr>
          <w:rFonts w:asciiTheme="minorHAnsi" w:hAnsiTheme="minorHAnsi" w:cstheme="minorHAnsi"/>
          <w:sz w:val="22"/>
          <w:szCs w:val="22"/>
        </w:rPr>
        <w:t>within 10m</w:t>
      </w:r>
      <w:r w:rsidR="00900462">
        <w:rPr>
          <w:rFonts w:asciiTheme="minorHAnsi" w:hAnsiTheme="minorHAnsi" w:cstheme="minorHAnsi"/>
          <w:sz w:val="22"/>
          <w:szCs w:val="22"/>
        </w:rPr>
        <w:t xml:space="preserve"> south of the test site. A 100m-long transect was walked along the shoreline </w:t>
      </w:r>
      <w:r w:rsidR="00900462">
        <w:rPr>
          <w:rFonts w:asciiTheme="minorHAnsi" w:hAnsiTheme="minorHAnsi" w:cstheme="minorHAnsi"/>
          <w:sz w:val="22"/>
          <w:szCs w:val="22"/>
        </w:rPr>
        <w:lastRenderedPageBreak/>
        <w:t>immediately abutting the TR-TP01 location for context</w:t>
      </w:r>
      <w:r w:rsidR="00CE5427">
        <w:rPr>
          <w:rFonts w:asciiTheme="minorHAnsi" w:hAnsiTheme="minorHAnsi" w:cstheme="minorHAnsi"/>
          <w:sz w:val="22"/>
          <w:szCs w:val="22"/>
        </w:rPr>
        <w:t xml:space="preserve"> and to encompass the likely TR-TP01 access route</w:t>
      </w:r>
      <w:r w:rsidR="00900462">
        <w:rPr>
          <w:rFonts w:asciiTheme="minorHAnsi" w:hAnsiTheme="minorHAnsi" w:cstheme="minorHAnsi"/>
          <w:sz w:val="22"/>
          <w:szCs w:val="22"/>
        </w:rPr>
        <w:t>.</w:t>
      </w:r>
    </w:p>
    <w:p w14:paraId="2B7FCE28" w14:textId="33413E9B" w:rsidR="00115ABF" w:rsidRDefault="00115ABF"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GSV at the TR-BH06 site and adjacent switchyard was effectively 0%</w:t>
      </w:r>
      <w:r w:rsidR="00CE5427">
        <w:rPr>
          <w:rFonts w:asciiTheme="minorHAnsi" w:hAnsiTheme="minorHAnsi" w:cstheme="minorHAnsi"/>
          <w:sz w:val="22"/>
          <w:szCs w:val="22"/>
        </w:rPr>
        <w:t>.</w:t>
      </w:r>
    </w:p>
    <w:p w14:paraId="6EA7AB43" w14:textId="7392FB24" w:rsidR="00115ABF" w:rsidRPr="00FE6189" w:rsidRDefault="00115ABF" w:rsidP="00904514">
      <w:pPr>
        <w:pStyle w:val="Heading1"/>
        <w:ind w:right="-568"/>
        <w:rPr>
          <w:sz w:val="28"/>
          <w:szCs w:val="28"/>
        </w:rPr>
      </w:pPr>
      <w:r>
        <w:rPr>
          <w:sz w:val="28"/>
          <w:szCs w:val="28"/>
        </w:rPr>
        <w:t>Site descriptions</w:t>
      </w:r>
      <w:r w:rsidR="00CE5427">
        <w:rPr>
          <w:sz w:val="28"/>
          <w:szCs w:val="28"/>
        </w:rPr>
        <w:t xml:space="preserve"> TR-BH01, TR-TP01 and TR-BH06</w:t>
      </w:r>
    </w:p>
    <w:p w14:paraId="141FC291" w14:textId="4D1AB42C" w:rsidR="00115ABF" w:rsidRPr="00114AC1" w:rsidRDefault="00115ABF" w:rsidP="00904514">
      <w:pPr>
        <w:pStyle w:val="Default"/>
        <w:spacing w:before="240"/>
        <w:ind w:right="-568"/>
        <w:rPr>
          <w:rFonts w:asciiTheme="minorHAnsi" w:hAnsiTheme="minorHAnsi" w:cstheme="minorHAnsi"/>
          <w:b/>
          <w:bCs/>
          <w:sz w:val="22"/>
          <w:szCs w:val="22"/>
        </w:rPr>
      </w:pPr>
      <w:r w:rsidRPr="00114AC1">
        <w:rPr>
          <w:rFonts w:asciiTheme="minorHAnsi" w:hAnsiTheme="minorHAnsi" w:cstheme="minorHAnsi"/>
          <w:b/>
          <w:bCs/>
          <w:sz w:val="22"/>
          <w:szCs w:val="22"/>
        </w:rPr>
        <w:t>TR-BH01</w:t>
      </w:r>
    </w:p>
    <w:p w14:paraId="147ED4A1" w14:textId="070A8278" w:rsidR="00115ABF" w:rsidRDefault="002548AE"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The test site </w:t>
      </w:r>
      <w:r w:rsidR="00904514">
        <w:rPr>
          <w:rFonts w:asciiTheme="minorHAnsi" w:hAnsiTheme="minorHAnsi" w:cstheme="minorHAnsi"/>
          <w:sz w:val="22"/>
          <w:szCs w:val="22"/>
        </w:rPr>
        <w:t xml:space="preserve">(and broader intake excavation footprint) </w:t>
      </w:r>
      <w:r>
        <w:rPr>
          <w:rFonts w:asciiTheme="minorHAnsi" w:hAnsiTheme="minorHAnsi" w:cstheme="minorHAnsi"/>
          <w:sz w:val="22"/>
          <w:szCs w:val="22"/>
        </w:rPr>
        <w:t xml:space="preserve">is situated on </w:t>
      </w:r>
      <w:r w:rsidR="00570F34">
        <w:rPr>
          <w:rFonts w:asciiTheme="minorHAnsi" w:hAnsiTheme="minorHAnsi" w:cstheme="minorHAnsi"/>
          <w:sz w:val="22"/>
          <w:szCs w:val="22"/>
        </w:rPr>
        <w:t xml:space="preserve">the lower footslope </w:t>
      </w:r>
      <w:r>
        <w:rPr>
          <w:rFonts w:asciiTheme="minorHAnsi" w:hAnsiTheme="minorHAnsi" w:cstheme="minorHAnsi"/>
          <w:sz w:val="22"/>
          <w:szCs w:val="22"/>
        </w:rPr>
        <w:t xml:space="preserve">of a south-trending spur of Owen Conglomerate </w:t>
      </w:r>
      <w:r w:rsidR="00570F34">
        <w:rPr>
          <w:rFonts w:asciiTheme="minorHAnsi" w:hAnsiTheme="minorHAnsi" w:cstheme="minorHAnsi"/>
          <w:sz w:val="22"/>
          <w:szCs w:val="22"/>
        </w:rPr>
        <w:t>overlooking Lake Plimsoll,</w:t>
      </w:r>
      <w:r w:rsidR="00904514">
        <w:rPr>
          <w:rFonts w:asciiTheme="minorHAnsi" w:hAnsiTheme="minorHAnsi" w:cstheme="minorHAnsi"/>
          <w:sz w:val="22"/>
          <w:szCs w:val="22"/>
        </w:rPr>
        <w:t xml:space="preserve"> </w:t>
      </w:r>
      <w:r w:rsidR="00A10FCF">
        <w:rPr>
          <w:rFonts w:asciiTheme="minorHAnsi" w:hAnsiTheme="minorHAnsi" w:cstheme="minorHAnsi"/>
          <w:sz w:val="22"/>
          <w:szCs w:val="22"/>
        </w:rPr>
        <w:t>on the east</w:t>
      </w:r>
      <w:r w:rsidR="00570F34">
        <w:rPr>
          <w:rFonts w:asciiTheme="minorHAnsi" w:hAnsiTheme="minorHAnsi" w:cstheme="minorHAnsi"/>
          <w:sz w:val="22"/>
          <w:szCs w:val="22"/>
        </w:rPr>
        <w:t xml:space="preserve"> side of a broad drainage gully that enters the lake from the northwest. It is backed to the north by a ridge of conglomerate and bordered to the south by the intake access road</w:t>
      </w:r>
      <w:r w:rsidR="00A10FCF">
        <w:rPr>
          <w:rFonts w:asciiTheme="minorHAnsi" w:hAnsiTheme="minorHAnsi" w:cstheme="minorHAnsi"/>
          <w:sz w:val="22"/>
          <w:szCs w:val="22"/>
        </w:rPr>
        <w:t xml:space="preserve"> that</w:t>
      </w:r>
      <w:r w:rsidR="00570F34">
        <w:rPr>
          <w:rFonts w:asciiTheme="minorHAnsi" w:hAnsiTheme="minorHAnsi" w:cstheme="minorHAnsi"/>
          <w:sz w:val="22"/>
          <w:szCs w:val="22"/>
        </w:rPr>
        <w:t xml:space="preserve"> has been widened to form a turning </w:t>
      </w:r>
      <w:r w:rsidR="00A10FCF">
        <w:rPr>
          <w:rFonts w:asciiTheme="minorHAnsi" w:hAnsiTheme="minorHAnsi" w:cstheme="minorHAnsi"/>
          <w:sz w:val="22"/>
          <w:szCs w:val="22"/>
        </w:rPr>
        <w:t>circle</w:t>
      </w:r>
      <w:r w:rsidR="00570F34">
        <w:rPr>
          <w:rFonts w:asciiTheme="minorHAnsi" w:hAnsiTheme="minorHAnsi" w:cstheme="minorHAnsi"/>
          <w:sz w:val="22"/>
          <w:szCs w:val="22"/>
        </w:rPr>
        <w:t xml:space="preserve"> </w:t>
      </w:r>
      <w:r w:rsidR="00A10FCF">
        <w:rPr>
          <w:rFonts w:asciiTheme="minorHAnsi" w:hAnsiTheme="minorHAnsi" w:cstheme="minorHAnsi"/>
          <w:sz w:val="22"/>
          <w:szCs w:val="22"/>
        </w:rPr>
        <w:t>75m to the southeast.</w:t>
      </w:r>
    </w:p>
    <w:p w14:paraId="5227AE7C" w14:textId="11D99EAD" w:rsidR="00A10FCF" w:rsidRDefault="00A10FCF"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Soils are shallow peats developed on siliceous gravels of glacial derivation</w:t>
      </w:r>
      <w:r w:rsidR="00904514">
        <w:rPr>
          <w:rFonts w:asciiTheme="minorHAnsi" w:hAnsiTheme="minorHAnsi" w:cstheme="minorHAnsi"/>
          <w:sz w:val="22"/>
          <w:szCs w:val="22"/>
        </w:rPr>
        <w:t xml:space="preserve"> with minimal pedologic structure</w:t>
      </w:r>
      <w:r>
        <w:rPr>
          <w:rFonts w:asciiTheme="minorHAnsi" w:hAnsiTheme="minorHAnsi" w:cstheme="minorHAnsi"/>
          <w:sz w:val="22"/>
          <w:szCs w:val="22"/>
        </w:rPr>
        <w:t xml:space="preserve">, supporting tea tree, banksia, buttongrass and other wet heathland shrubs. The ground slopes </w:t>
      </w:r>
      <w:r w:rsidR="007A688D">
        <w:rPr>
          <w:rFonts w:asciiTheme="minorHAnsi" w:hAnsiTheme="minorHAnsi" w:cstheme="minorHAnsi"/>
          <w:sz w:val="22"/>
          <w:szCs w:val="22"/>
        </w:rPr>
        <w:t xml:space="preserve">approx. </w:t>
      </w:r>
      <w:r>
        <w:rPr>
          <w:rFonts w:asciiTheme="minorHAnsi" w:hAnsiTheme="minorHAnsi" w:cstheme="minorHAnsi"/>
          <w:sz w:val="22"/>
          <w:szCs w:val="22"/>
        </w:rPr>
        <w:t>15-20</w:t>
      </w:r>
      <w:r w:rsidRPr="00F854ED">
        <w:rPr>
          <w:rFonts w:asciiTheme="minorHAnsi" w:hAnsiTheme="minorHAnsi" w:cstheme="minorHAnsi"/>
          <w:sz w:val="22"/>
          <w:szCs w:val="22"/>
          <w:vertAlign w:val="superscript"/>
        </w:rPr>
        <w:t>o</w:t>
      </w:r>
      <w:r>
        <w:rPr>
          <w:rFonts w:asciiTheme="minorHAnsi" w:hAnsiTheme="minorHAnsi" w:cstheme="minorHAnsi"/>
          <w:sz w:val="22"/>
          <w:szCs w:val="22"/>
        </w:rPr>
        <w:t xml:space="preserve"> to the southw</w:t>
      </w:r>
      <w:r w:rsidR="007A688D">
        <w:rPr>
          <w:rFonts w:asciiTheme="minorHAnsi" w:hAnsiTheme="minorHAnsi" w:cstheme="minorHAnsi"/>
          <w:sz w:val="22"/>
          <w:szCs w:val="22"/>
        </w:rPr>
        <w:t>est and is poorly drained and boggy. An excavator has driven through the area immediately north of the test hole site, leaving ruts up to 30cm deep.</w:t>
      </w:r>
    </w:p>
    <w:p w14:paraId="02809DF3" w14:textId="5E1F30CA" w:rsidR="00115ABF" w:rsidRPr="00114AC1" w:rsidRDefault="00115ABF" w:rsidP="00904514">
      <w:pPr>
        <w:pStyle w:val="Default"/>
        <w:spacing w:before="240"/>
        <w:ind w:right="-568"/>
        <w:rPr>
          <w:rFonts w:asciiTheme="minorHAnsi" w:hAnsiTheme="minorHAnsi" w:cstheme="minorHAnsi"/>
          <w:b/>
          <w:bCs/>
          <w:sz w:val="22"/>
          <w:szCs w:val="22"/>
        </w:rPr>
      </w:pPr>
      <w:r w:rsidRPr="00114AC1">
        <w:rPr>
          <w:rFonts w:asciiTheme="minorHAnsi" w:hAnsiTheme="minorHAnsi" w:cstheme="minorHAnsi"/>
          <w:b/>
          <w:bCs/>
          <w:sz w:val="22"/>
          <w:szCs w:val="22"/>
        </w:rPr>
        <w:t>TR-TP01</w:t>
      </w:r>
    </w:p>
    <w:p w14:paraId="6FF11831" w14:textId="0C5CDD50" w:rsidR="00115ABF" w:rsidRDefault="002A666B"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The test site is situated 60m south of TR-BH01</w:t>
      </w:r>
      <w:r w:rsidR="001F188D">
        <w:rPr>
          <w:rFonts w:asciiTheme="minorHAnsi" w:hAnsiTheme="minorHAnsi" w:cstheme="minorHAnsi"/>
          <w:sz w:val="22"/>
          <w:szCs w:val="22"/>
        </w:rPr>
        <w:t>, lower down the east side if the drainage gully and approximately 10m above the lake high-water level. The area slopes southwest at c. 10</w:t>
      </w:r>
      <w:r w:rsidR="001F188D" w:rsidRPr="00F854ED">
        <w:rPr>
          <w:rFonts w:asciiTheme="minorHAnsi" w:hAnsiTheme="minorHAnsi" w:cstheme="minorHAnsi"/>
          <w:sz w:val="22"/>
          <w:szCs w:val="22"/>
          <w:vertAlign w:val="superscript"/>
        </w:rPr>
        <w:t>o</w:t>
      </w:r>
      <w:r w:rsidR="001F188D">
        <w:rPr>
          <w:rFonts w:asciiTheme="minorHAnsi" w:hAnsiTheme="minorHAnsi" w:cstheme="minorHAnsi"/>
          <w:sz w:val="22"/>
          <w:szCs w:val="22"/>
        </w:rPr>
        <w:t xml:space="preserve"> and is subject to flooding, supporting reedy grasses and tussocks with an abrupt change to woody vegetation as the ground steepens upslope towards the intake access road.</w:t>
      </w:r>
    </w:p>
    <w:p w14:paraId="61A2EF0C" w14:textId="28FD9287" w:rsidR="001F188D" w:rsidRDefault="001F188D"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Soils comprise shallow peat up to 150mm thick developed on siliceous gravels with no minimal pedologic structure. The area is likely to have been boggy even before the raising of the lake due to the proximity of the drainage gully.</w:t>
      </w:r>
    </w:p>
    <w:p w14:paraId="187E57CE" w14:textId="78925627" w:rsidR="00115ABF" w:rsidRPr="00114AC1" w:rsidRDefault="00115ABF" w:rsidP="00904514">
      <w:pPr>
        <w:pStyle w:val="Default"/>
        <w:spacing w:before="240"/>
        <w:ind w:right="-568"/>
        <w:rPr>
          <w:rFonts w:asciiTheme="minorHAnsi" w:hAnsiTheme="minorHAnsi" w:cstheme="minorHAnsi"/>
          <w:b/>
          <w:bCs/>
          <w:sz w:val="22"/>
          <w:szCs w:val="22"/>
        </w:rPr>
      </w:pPr>
      <w:r w:rsidRPr="00114AC1">
        <w:rPr>
          <w:rFonts w:asciiTheme="minorHAnsi" w:hAnsiTheme="minorHAnsi" w:cstheme="minorHAnsi"/>
          <w:b/>
          <w:bCs/>
          <w:sz w:val="22"/>
          <w:szCs w:val="22"/>
        </w:rPr>
        <w:t>TR-BH06</w:t>
      </w:r>
    </w:p>
    <w:p w14:paraId="3560FEBD" w14:textId="36281A68" w:rsidR="00115ABF" w:rsidRDefault="00E33E4B"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The test hole site is located on the west side of a small island between two drainage channels within a broad north facing gully </w:t>
      </w:r>
      <w:r w:rsidR="00FD7B57">
        <w:rPr>
          <w:rFonts w:asciiTheme="minorHAnsi" w:hAnsiTheme="minorHAnsi" w:cstheme="minorHAnsi"/>
          <w:sz w:val="22"/>
          <w:szCs w:val="22"/>
        </w:rPr>
        <w:t>approx. 1.5km from Lake Murchison</w:t>
      </w:r>
      <w:r w:rsidR="00091ABA">
        <w:rPr>
          <w:rFonts w:asciiTheme="minorHAnsi" w:hAnsiTheme="minorHAnsi" w:cstheme="minorHAnsi"/>
          <w:sz w:val="22"/>
          <w:szCs w:val="22"/>
        </w:rPr>
        <w:t>. The peg site is waterlogged. The area is covered in wet forest containing sassafras and myrtle which will make construction of an access road difficult.</w:t>
      </w:r>
    </w:p>
    <w:p w14:paraId="3B89D568" w14:textId="00E427F7" w:rsidR="00091ABA" w:rsidRDefault="00091ABA"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To the west, the proposed switchyard is mostly situated on the crest of a broad, gently north sloping ridge between two drainage lines. The ground steepens over the southern third of the switchyard area (approx</w:t>
      </w:r>
      <w:r w:rsidR="00904514">
        <w:rPr>
          <w:rFonts w:asciiTheme="minorHAnsi" w:hAnsiTheme="minorHAnsi" w:cstheme="minorHAnsi"/>
          <w:sz w:val="22"/>
          <w:szCs w:val="22"/>
        </w:rPr>
        <w:t>.</w:t>
      </w:r>
      <w:r>
        <w:rPr>
          <w:rFonts w:asciiTheme="minorHAnsi" w:hAnsiTheme="minorHAnsi" w:cstheme="minorHAnsi"/>
          <w:sz w:val="22"/>
          <w:szCs w:val="22"/>
        </w:rPr>
        <w:t xml:space="preserve"> 20</w:t>
      </w:r>
      <w:r w:rsidRPr="00091ABA">
        <w:rPr>
          <w:rFonts w:asciiTheme="minorHAnsi" w:hAnsiTheme="minorHAnsi" w:cstheme="minorHAnsi"/>
          <w:sz w:val="22"/>
          <w:szCs w:val="22"/>
          <w:vertAlign w:val="superscript"/>
        </w:rPr>
        <w:t>o</w:t>
      </w:r>
      <w:r>
        <w:rPr>
          <w:rFonts w:asciiTheme="minorHAnsi" w:hAnsiTheme="minorHAnsi" w:cstheme="minorHAnsi"/>
          <w:sz w:val="22"/>
          <w:szCs w:val="22"/>
        </w:rPr>
        <w:t xml:space="preserve">). </w:t>
      </w:r>
      <w:r w:rsidR="00904514">
        <w:rPr>
          <w:rFonts w:asciiTheme="minorHAnsi" w:hAnsiTheme="minorHAnsi" w:cstheme="minorHAnsi"/>
          <w:sz w:val="22"/>
          <w:szCs w:val="22"/>
        </w:rPr>
        <w:t>The area is forested with an open understorey. This area has moderate potential for heritage based on terrain attributes but was not able to be surveyed owing to 0% GSV.</w:t>
      </w:r>
    </w:p>
    <w:p w14:paraId="4B708B98" w14:textId="0098F311" w:rsidR="006005BD" w:rsidRPr="00FE6189" w:rsidRDefault="00CE5427" w:rsidP="00904514">
      <w:pPr>
        <w:pStyle w:val="Heading1"/>
        <w:ind w:right="-568"/>
        <w:rPr>
          <w:sz w:val="28"/>
          <w:szCs w:val="28"/>
        </w:rPr>
      </w:pPr>
      <w:r>
        <w:rPr>
          <w:sz w:val="28"/>
          <w:szCs w:val="28"/>
        </w:rPr>
        <w:t>Survey r</w:t>
      </w:r>
      <w:r w:rsidR="006005BD">
        <w:rPr>
          <w:sz w:val="28"/>
          <w:szCs w:val="28"/>
        </w:rPr>
        <w:t>esults</w:t>
      </w:r>
    </w:p>
    <w:p w14:paraId="216733E5" w14:textId="7C92DA3A" w:rsidR="00115ABF" w:rsidRDefault="00115ABF"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No Aboriginal relics or Potential Areas of sensitivity were identified during the assessment</w:t>
      </w:r>
      <w:r w:rsidR="00FD5F2D">
        <w:rPr>
          <w:rFonts w:asciiTheme="minorHAnsi" w:hAnsiTheme="minorHAnsi" w:cstheme="minorHAnsi"/>
          <w:sz w:val="22"/>
          <w:szCs w:val="22"/>
        </w:rPr>
        <w:t xml:space="preserve">. The extremely low GSV conditions </w:t>
      </w:r>
      <w:r w:rsidR="00F854ED">
        <w:rPr>
          <w:rFonts w:asciiTheme="minorHAnsi" w:hAnsiTheme="minorHAnsi" w:cstheme="minorHAnsi"/>
          <w:sz w:val="22"/>
          <w:szCs w:val="22"/>
        </w:rPr>
        <w:t xml:space="preserve">substantially </w:t>
      </w:r>
      <w:r w:rsidR="002B6F2A">
        <w:rPr>
          <w:rFonts w:asciiTheme="minorHAnsi" w:hAnsiTheme="minorHAnsi" w:cstheme="minorHAnsi"/>
          <w:sz w:val="22"/>
          <w:szCs w:val="22"/>
        </w:rPr>
        <w:t xml:space="preserve">negate the effectiveness of the survey and the potential for relics to be present or impacted has </w:t>
      </w:r>
      <w:r w:rsidR="00F854ED">
        <w:rPr>
          <w:rFonts w:asciiTheme="minorHAnsi" w:hAnsiTheme="minorHAnsi" w:cstheme="minorHAnsi"/>
          <w:sz w:val="22"/>
          <w:szCs w:val="22"/>
        </w:rPr>
        <w:t xml:space="preserve">consequently </w:t>
      </w:r>
      <w:r w:rsidR="002B6F2A">
        <w:rPr>
          <w:rFonts w:asciiTheme="minorHAnsi" w:hAnsiTheme="minorHAnsi" w:cstheme="minorHAnsi"/>
          <w:sz w:val="22"/>
          <w:szCs w:val="22"/>
        </w:rPr>
        <w:t xml:space="preserve">been deduced on terrain </w:t>
      </w:r>
      <w:r w:rsidR="00F854ED">
        <w:rPr>
          <w:rFonts w:asciiTheme="minorHAnsi" w:hAnsiTheme="minorHAnsi" w:cstheme="minorHAnsi"/>
          <w:sz w:val="22"/>
          <w:szCs w:val="22"/>
        </w:rPr>
        <w:t>factors</w:t>
      </w:r>
      <w:r w:rsidR="002B6F2A">
        <w:rPr>
          <w:rFonts w:asciiTheme="minorHAnsi" w:hAnsiTheme="minorHAnsi" w:cstheme="minorHAnsi"/>
          <w:sz w:val="22"/>
          <w:szCs w:val="22"/>
        </w:rPr>
        <w:t>.</w:t>
      </w:r>
    </w:p>
    <w:p w14:paraId="2A3E222F" w14:textId="0BA8C8BD" w:rsidR="002B6F2A" w:rsidRDefault="00F854ED"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lastRenderedPageBreak/>
        <w:t>Notwithstanding the lack of effective visibility, t</w:t>
      </w:r>
      <w:r w:rsidR="002B6F2A">
        <w:rPr>
          <w:rFonts w:asciiTheme="minorHAnsi" w:hAnsiTheme="minorHAnsi" w:cstheme="minorHAnsi"/>
          <w:sz w:val="22"/>
          <w:szCs w:val="22"/>
        </w:rPr>
        <w:t xml:space="preserve">he potential for Aboriginal relics to be present at the proposed TR-BH01 and TR-TP01 locations is considered low owing to the southerly aspect of the locations, the poor drainage and general lack of resources or other useful cultural attributes such as </w:t>
      </w:r>
      <w:r w:rsidR="00904514">
        <w:rPr>
          <w:rFonts w:asciiTheme="minorHAnsi" w:hAnsiTheme="minorHAnsi" w:cstheme="minorHAnsi"/>
          <w:sz w:val="22"/>
          <w:szCs w:val="22"/>
        </w:rPr>
        <w:t>use for cross country travel</w:t>
      </w:r>
      <w:r w:rsidR="002B6F2A">
        <w:rPr>
          <w:rFonts w:asciiTheme="minorHAnsi" w:hAnsiTheme="minorHAnsi" w:cstheme="minorHAnsi"/>
          <w:sz w:val="22"/>
          <w:szCs w:val="22"/>
        </w:rPr>
        <w:t>.</w:t>
      </w:r>
    </w:p>
    <w:p w14:paraId="68912884" w14:textId="0B22DD30" w:rsidR="00CE5427" w:rsidRPr="00FE6189" w:rsidRDefault="00CE5427" w:rsidP="00CE5427">
      <w:pPr>
        <w:pStyle w:val="Heading1"/>
        <w:ind w:right="-568"/>
        <w:rPr>
          <w:sz w:val="28"/>
          <w:szCs w:val="28"/>
        </w:rPr>
      </w:pPr>
      <w:r>
        <w:rPr>
          <w:sz w:val="28"/>
          <w:szCs w:val="28"/>
        </w:rPr>
        <w:t>Desktop assessments TR-BH02A and TR-BH03</w:t>
      </w:r>
    </w:p>
    <w:p w14:paraId="0586C7C6" w14:textId="4BB8E599" w:rsidR="00AC3939" w:rsidRDefault="00CE5427"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The locations of two boreholes, TR-BH0-2A and TR</w:t>
      </w:r>
      <w:r w:rsidR="00F745F6">
        <w:rPr>
          <w:rFonts w:asciiTheme="minorHAnsi" w:hAnsiTheme="minorHAnsi" w:cstheme="minorHAnsi"/>
          <w:sz w:val="22"/>
          <w:szCs w:val="22"/>
        </w:rPr>
        <w:t>-BH</w:t>
      </w:r>
      <w:r>
        <w:rPr>
          <w:rFonts w:asciiTheme="minorHAnsi" w:hAnsiTheme="minorHAnsi" w:cstheme="minorHAnsi"/>
          <w:sz w:val="22"/>
          <w:szCs w:val="22"/>
        </w:rPr>
        <w:t>03 ha</w:t>
      </w:r>
      <w:r w:rsidR="00F745F6">
        <w:rPr>
          <w:rFonts w:asciiTheme="minorHAnsi" w:hAnsiTheme="minorHAnsi" w:cstheme="minorHAnsi"/>
          <w:sz w:val="22"/>
          <w:szCs w:val="22"/>
        </w:rPr>
        <w:t>d</w:t>
      </w:r>
      <w:r>
        <w:rPr>
          <w:rFonts w:asciiTheme="minorHAnsi" w:hAnsiTheme="minorHAnsi" w:cstheme="minorHAnsi"/>
          <w:sz w:val="22"/>
          <w:szCs w:val="22"/>
        </w:rPr>
        <w:t xml:space="preserve"> not been finalised </w:t>
      </w:r>
      <w:r w:rsidR="00F745F6">
        <w:rPr>
          <w:rFonts w:asciiTheme="minorHAnsi" w:hAnsiTheme="minorHAnsi" w:cstheme="minorHAnsi"/>
          <w:sz w:val="22"/>
          <w:szCs w:val="22"/>
        </w:rPr>
        <w:t>at</w:t>
      </w:r>
      <w:r>
        <w:rPr>
          <w:rFonts w:asciiTheme="minorHAnsi" w:hAnsiTheme="minorHAnsi" w:cstheme="minorHAnsi"/>
          <w:sz w:val="22"/>
          <w:szCs w:val="22"/>
        </w:rPr>
        <w:t xml:space="preserve"> the time the field assessment</w:t>
      </w:r>
      <w:r w:rsidR="00051A8D">
        <w:rPr>
          <w:rFonts w:asciiTheme="minorHAnsi" w:hAnsiTheme="minorHAnsi" w:cstheme="minorHAnsi"/>
          <w:sz w:val="22"/>
          <w:szCs w:val="22"/>
        </w:rPr>
        <w:t>s</w:t>
      </w:r>
      <w:r>
        <w:rPr>
          <w:rFonts w:asciiTheme="minorHAnsi" w:hAnsiTheme="minorHAnsi" w:cstheme="minorHAnsi"/>
          <w:sz w:val="22"/>
          <w:szCs w:val="22"/>
        </w:rPr>
        <w:t xml:space="preserve"> of BH-01, TR-TP01 and TR-BH06 w</w:t>
      </w:r>
      <w:r w:rsidR="00051A8D">
        <w:rPr>
          <w:rFonts w:asciiTheme="minorHAnsi" w:hAnsiTheme="minorHAnsi" w:cstheme="minorHAnsi"/>
          <w:sz w:val="22"/>
          <w:szCs w:val="22"/>
        </w:rPr>
        <w:t>ere</w:t>
      </w:r>
      <w:r>
        <w:rPr>
          <w:rFonts w:asciiTheme="minorHAnsi" w:hAnsiTheme="minorHAnsi" w:cstheme="minorHAnsi"/>
          <w:sz w:val="22"/>
          <w:szCs w:val="22"/>
        </w:rPr>
        <w:t xml:space="preserve"> conducted.  </w:t>
      </w:r>
      <w:r w:rsidR="00F745F6">
        <w:rPr>
          <w:rFonts w:asciiTheme="minorHAnsi" w:hAnsiTheme="minorHAnsi" w:cstheme="minorHAnsi"/>
          <w:sz w:val="22"/>
          <w:szCs w:val="22"/>
        </w:rPr>
        <w:t>A</w:t>
      </w:r>
      <w:r>
        <w:rPr>
          <w:rFonts w:asciiTheme="minorHAnsi" w:hAnsiTheme="minorHAnsi" w:cstheme="minorHAnsi"/>
          <w:sz w:val="22"/>
          <w:szCs w:val="22"/>
        </w:rPr>
        <w:t xml:space="preserve"> drive-by reconnaissance was carried out at that time however</w:t>
      </w:r>
      <w:r w:rsidR="00F745F6">
        <w:rPr>
          <w:rFonts w:asciiTheme="minorHAnsi" w:hAnsiTheme="minorHAnsi" w:cstheme="minorHAnsi"/>
          <w:sz w:val="22"/>
          <w:szCs w:val="22"/>
        </w:rPr>
        <w:t>,</w:t>
      </w:r>
      <w:r>
        <w:rPr>
          <w:rFonts w:asciiTheme="minorHAnsi" w:hAnsiTheme="minorHAnsi" w:cstheme="minorHAnsi"/>
          <w:sz w:val="22"/>
          <w:szCs w:val="22"/>
        </w:rPr>
        <w:t xml:space="preserve"> to obtain a general idea of the terrain and </w:t>
      </w:r>
      <w:r w:rsidR="00F745F6">
        <w:rPr>
          <w:rFonts w:asciiTheme="minorHAnsi" w:hAnsiTheme="minorHAnsi" w:cstheme="minorHAnsi"/>
          <w:sz w:val="22"/>
          <w:szCs w:val="22"/>
        </w:rPr>
        <w:t xml:space="preserve">likely </w:t>
      </w:r>
      <w:r>
        <w:rPr>
          <w:rFonts w:asciiTheme="minorHAnsi" w:hAnsiTheme="minorHAnsi" w:cstheme="minorHAnsi"/>
          <w:sz w:val="22"/>
          <w:szCs w:val="22"/>
        </w:rPr>
        <w:t xml:space="preserve">groundsurface visibility conditions.  It was concluded </w:t>
      </w:r>
      <w:r w:rsidR="00F745F6">
        <w:rPr>
          <w:rFonts w:asciiTheme="minorHAnsi" w:hAnsiTheme="minorHAnsi" w:cstheme="minorHAnsi"/>
          <w:sz w:val="22"/>
          <w:szCs w:val="22"/>
        </w:rPr>
        <w:t>during this reconnaissance</w:t>
      </w:r>
      <w:r>
        <w:rPr>
          <w:rFonts w:asciiTheme="minorHAnsi" w:hAnsiTheme="minorHAnsi" w:cstheme="minorHAnsi"/>
          <w:sz w:val="22"/>
          <w:szCs w:val="22"/>
        </w:rPr>
        <w:t xml:space="preserve"> that GSV would </w:t>
      </w:r>
      <w:r w:rsidR="00AC3939">
        <w:rPr>
          <w:rFonts w:asciiTheme="minorHAnsi" w:hAnsiTheme="minorHAnsi" w:cstheme="minorHAnsi"/>
          <w:sz w:val="22"/>
          <w:szCs w:val="22"/>
        </w:rPr>
        <w:t>effectively</w:t>
      </w:r>
      <w:r>
        <w:rPr>
          <w:rFonts w:asciiTheme="minorHAnsi" w:hAnsiTheme="minorHAnsi" w:cstheme="minorHAnsi"/>
          <w:sz w:val="22"/>
          <w:szCs w:val="22"/>
        </w:rPr>
        <w:t xml:space="preserve"> be </w:t>
      </w:r>
      <w:r w:rsidR="00AC3939">
        <w:rPr>
          <w:rFonts w:asciiTheme="minorHAnsi" w:hAnsiTheme="minorHAnsi" w:cstheme="minorHAnsi"/>
          <w:sz w:val="22"/>
          <w:szCs w:val="22"/>
        </w:rPr>
        <w:t>zero</w:t>
      </w:r>
      <w:r>
        <w:rPr>
          <w:rFonts w:asciiTheme="minorHAnsi" w:hAnsiTheme="minorHAnsi" w:cstheme="minorHAnsi"/>
          <w:sz w:val="22"/>
          <w:szCs w:val="22"/>
        </w:rPr>
        <w:t xml:space="preserve"> for the general area where </w:t>
      </w:r>
      <w:r w:rsidR="00051A8D">
        <w:rPr>
          <w:rFonts w:asciiTheme="minorHAnsi" w:hAnsiTheme="minorHAnsi" w:cstheme="minorHAnsi"/>
          <w:sz w:val="22"/>
          <w:szCs w:val="22"/>
        </w:rPr>
        <w:t xml:space="preserve">TR-BH0-2A and TR-BH03 </w:t>
      </w:r>
      <w:r w:rsidR="00AC3939">
        <w:rPr>
          <w:rFonts w:asciiTheme="minorHAnsi" w:hAnsiTheme="minorHAnsi" w:cstheme="minorHAnsi"/>
          <w:sz w:val="22"/>
          <w:szCs w:val="22"/>
        </w:rPr>
        <w:t>boreholes</w:t>
      </w:r>
      <w:r>
        <w:rPr>
          <w:rFonts w:asciiTheme="minorHAnsi" w:hAnsiTheme="minorHAnsi" w:cstheme="minorHAnsi"/>
          <w:sz w:val="22"/>
          <w:szCs w:val="22"/>
        </w:rPr>
        <w:t xml:space="preserve"> would be </w:t>
      </w:r>
      <w:r w:rsidR="00AC3939">
        <w:rPr>
          <w:rFonts w:asciiTheme="minorHAnsi" w:hAnsiTheme="minorHAnsi" w:cstheme="minorHAnsi"/>
          <w:sz w:val="22"/>
          <w:szCs w:val="22"/>
        </w:rPr>
        <w:t>located.</w:t>
      </w:r>
    </w:p>
    <w:p w14:paraId="49F6E61B" w14:textId="026546A8" w:rsidR="00F745F6" w:rsidRDefault="00F745F6"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The two borehole </w:t>
      </w:r>
      <w:r w:rsidR="00051A8D">
        <w:rPr>
          <w:rFonts w:asciiTheme="minorHAnsi" w:hAnsiTheme="minorHAnsi" w:cstheme="minorHAnsi"/>
          <w:sz w:val="22"/>
          <w:szCs w:val="22"/>
        </w:rPr>
        <w:t>locations</w:t>
      </w:r>
      <w:r>
        <w:rPr>
          <w:rFonts w:asciiTheme="minorHAnsi" w:hAnsiTheme="minorHAnsi" w:cstheme="minorHAnsi"/>
          <w:sz w:val="22"/>
          <w:szCs w:val="22"/>
        </w:rPr>
        <w:t xml:space="preserve"> </w:t>
      </w:r>
      <w:r w:rsidR="00051A8D">
        <w:rPr>
          <w:rFonts w:asciiTheme="minorHAnsi" w:hAnsiTheme="minorHAnsi" w:cstheme="minorHAnsi"/>
          <w:sz w:val="22"/>
          <w:szCs w:val="22"/>
        </w:rPr>
        <w:t xml:space="preserve">and access arrangements </w:t>
      </w:r>
      <w:r>
        <w:rPr>
          <w:rFonts w:asciiTheme="minorHAnsi" w:hAnsiTheme="minorHAnsi" w:cstheme="minorHAnsi"/>
          <w:sz w:val="22"/>
          <w:szCs w:val="22"/>
        </w:rPr>
        <w:t>have since been finalised and will utilise a mobile rig flown in by helicopter. A walking track will be cut to the sites, and a temporary water pipeline laid to supply water from a creek</w:t>
      </w:r>
      <w:r w:rsidR="00051A8D">
        <w:rPr>
          <w:rFonts w:asciiTheme="minorHAnsi" w:hAnsiTheme="minorHAnsi" w:cstheme="minorHAnsi"/>
          <w:sz w:val="22"/>
          <w:szCs w:val="22"/>
        </w:rPr>
        <w:t xml:space="preserve"> to the north</w:t>
      </w:r>
      <w:r>
        <w:rPr>
          <w:rFonts w:asciiTheme="minorHAnsi" w:hAnsiTheme="minorHAnsi" w:cstheme="minorHAnsi"/>
          <w:sz w:val="22"/>
          <w:szCs w:val="22"/>
        </w:rPr>
        <w:t xml:space="preserve">. The total impact footprint will comprise two c20 x 20 pads, a </w:t>
      </w:r>
      <w:r w:rsidR="00C7365E">
        <w:rPr>
          <w:rFonts w:asciiTheme="minorHAnsi" w:hAnsiTheme="minorHAnsi" w:cstheme="minorHAnsi"/>
          <w:sz w:val="22"/>
          <w:szCs w:val="22"/>
        </w:rPr>
        <w:t xml:space="preserve">1.4km </w:t>
      </w:r>
      <w:r>
        <w:rPr>
          <w:rFonts w:asciiTheme="minorHAnsi" w:hAnsiTheme="minorHAnsi" w:cstheme="minorHAnsi"/>
          <w:sz w:val="22"/>
          <w:szCs w:val="22"/>
        </w:rPr>
        <w:t xml:space="preserve">slashed walking track </w:t>
      </w:r>
      <w:r w:rsidR="00C7365E">
        <w:rPr>
          <w:rFonts w:asciiTheme="minorHAnsi" w:hAnsiTheme="minorHAnsi" w:cstheme="minorHAnsi"/>
          <w:sz w:val="22"/>
          <w:szCs w:val="22"/>
        </w:rPr>
        <w:t xml:space="preserve">linking the investigation sites with Anthony Road </w:t>
      </w:r>
      <w:r>
        <w:rPr>
          <w:rFonts w:asciiTheme="minorHAnsi" w:hAnsiTheme="minorHAnsi" w:cstheme="minorHAnsi"/>
          <w:sz w:val="22"/>
          <w:szCs w:val="22"/>
        </w:rPr>
        <w:t xml:space="preserve">and </w:t>
      </w:r>
      <w:r w:rsidR="00C7365E">
        <w:rPr>
          <w:rFonts w:asciiTheme="minorHAnsi" w:hAnsiTheme="minorHAnsi" w:cstheme="minorHAnsi"/>
          <w:sz w:val="22"/>
          <w:szCs w:val="22"/>
        </w:rPr>
        <w:t xml:space="preserve">600m of </w:t>
      </w:r>
      <w:r>
        <w:rPr>
          <w:rFonts w:asciiTheme="minorHAnsi" w:hAnsiTheme="minorHAnsi" w:cstheme="minorHAnsi"/>
          <w:sz w:val="22"/>
          <w:szCs w:val="22"/>
        </w:rPr>
        <w:t>pipeline laid on the existing ground surface</w:t>
      </w:r>
      <w:r w:rsidR="00051A8D">
        <w:rPr>
          <w:rFonts w:asciiTheme="minorHAnsi" w:hAnsiTheme="minorHAnsi" w:cstheme="minorHAnsi"/>
          <w:sz w:val="22"/>
          <w:szCs w:val="22"/>
        </w:rPr>
        <w:t xml:space="preserve"> between the creek and two borehole sites</w:t>
      </w:r>
      <w:r>
        <w:rPr>
          <w:rFonts w:asciiTheme="minorHAnsi" w:hAnsiTheme="minorHAnsi" w:cstheme="minorHAnsi"/>
          <w:sz w:val="22"/>
          <w:szCs w:val="22"/>
        </w:rPr>
        <w:t>.</w:t>
      </w:r>
      <w:r w:rsidR="00C7365E">
        <w:rPr>
          <w:rFonts w:asciiTheme="minorHAnsi" w:hAnsiTheme="minorHAnsi" w:cstheme="minorHAnsi"/>
          <w:sz w:val="22"/>
          <w:szCs w:val="22"/>
        </w:rPr>
        <w:t xml:space="preserve"> All proposed disturbances fall within </w:t>
      </w:r>
      <w:r w:rsidR="00051A8D">
        <w:rPr>
          <w:rFonts w:asciiTheme="minorHAnsi" w:hAnsiTheme="minorHAnsi" w:cstheme="minorHAnsi"/>
          <w:sz w:val="22"/>
          <w:szCs w:val="22"/>
        </w:rPr>
        <w:t>a</w:t>
      </w:r>
      <w:r w:rsidR="00C7365E">
        <w:rPr>
          <w:rFonts w:asciiTheme="minorHAnsi" w:hAnsiTheme="minorHAnsi" w:cstheme="minorHAnsi"/>
          <w:sz w:val="22"/>
          <w:szCs w:val="22"/>
        </w:rPr>
        <w:t xml:space="preserve"> zone indicated by the Aboriginal heritage risk map as having Low potential for sites.</w:t>
      </w:r>
    </w:p>
    <w:p w14:paraId="2E5BE639" w14:textId="41C29D7E" w:rsidR="00C7365E" w:rsidRPr="00114AC1" w:rsidRDefault="00C7365E" w:rsidP="00C7365E">
      <w:pPr>
        <w:pStyle w:val="Default"/>
        <w:spacing w:before="240"/>
        <w:ind w:right="-568"/>
        <w:rPr>
          <w:rFonts w:asciiTheme="minorHAnsi" w:hAnsiTheme="minorHAnsi" w:cstheme="minorHAnsi"/>
          <w:b/>
          <w:bCs/>
          <w:sz w:val="22"/>
          <w:szCs w:val="22"/>
        </w:rPr>
      </w:pPr>
      <w:r w:rsidRPr="00114AC1">
        <w:rPr>
          <w:rFonts w:asciiTheme="minorHAnsi" w:hAnsiTheme="minorHAnsi" w:cstheme="minorHAnsi"/>
          <w:b/>
          <w:bCs/>
          <w:sz w:val="22"/>
          <w:szCs w:val="22"/>
        </w:rPr>
        <w:t>TR-BH0</w:t>
      </w:r>
      <w:r w:rsidRPr="00114AC1">
        <w:rPr>
          <w:rFonts w:asciiTheme="minorHAnsi" w:hAnsiTheme="minorHAnsi" w:cstheme="minorHAnsi"/>
          <w:b/>
          <w:bCs/>
          <w:sz w:val="22"/>
          <w:szCs w:val="22"/>
        </w:rPr>
        <w:t>2A</w:t>
      </w:r>
    </w:p>
    <w:p w14:paraId="305870BC" w14:textId="1155251E" w:rsidR="00F745F6" w:rsidRDefault="00C7365E"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The borehole </w:t>
      </w:r>
      <w:r w:rsidR="0049504C">
        <w:rPr>
          <w:rFonts w:asciiTheme="minorHAnsi" w:hAnsiTheme="minorHAnsi" w:cstheme="minorHAnsi"/>
          <w:sz w:val="22"/>
          <w:szCs w:val="22"/>
        </w:rPr>
        <w:t xml:space="preserve">site </w:t>
      </w:r>
      <w:r>
        <w:rPr>
          <w:rFonts w:asciiTheme="minorHAnsi" w:hAnsiTheme="minorHAnsi" w:cstheme="minorHAnsi"/>
          <w:sz w:val="22"/>
          <w:szCs w:val="22"/>
        </w:rPr>
        <w:t>is situated in a north-west facing gully on steep ground (approximately 25</w:t>
      </w:r>
      <w:r w:rsidRPr="00114AC1">
        <w:rPr>
          <w:rFonts w:asciiTheme="minorHAnsi" w:hAnsiTheme="minorHAnsi" w:cstheme="minorHAnsi"/>
          <w:sz w:val="22"/>
          <w:szCs w:val="22"/>
          <w:vertAlign w:val="superscript"/>
        </w:rPr>
        <w:t>o</w:t>
      </w:r>
      <w:r>
        <w:rPr>
          <w:rFonts w:asciiTheme="minorHAnsi" w:hAnsiTheme="minorHAnsi" w:cstheme="minorHAnsi"/>
          <w:sz w:val="22"/>
          <w:szCs w:val="22"/>
        </w:rPr>
        <w:t xml:space="preserve"> slope). The resident geology comprises Owen Conglomerate mantled with Pleistocene glacial deposits. The area </w:t>
      </w:r>
      <w:r w:rsidR="0049504C">
        <w:rPr>
          <w:rFonts w:asciiTheme="minorHAnsi" w:hAnsiTheme="minorHAnsi" w:cstheme="minorHAnsi"/>
          <w:sz w:val="22"/>
          <w:szCs w:val="22"/>
        </w:rPr>
        <w:t xml:space="preserve">approximately 50m </w:t>
      </w:r>
      <w:r>
        <w:rPr>
          <w:rFonts w:asciiTheme="minorHAnsi" w:hAnsiTheme="minorHAnsi" w:cstheme="minorHAnsi"/>
          <w:sz w:val="22"/>
          <w:szCs w:val="22"/>
        </w:rPr>
        <w:t xml:space="preserve">upslope of the borehole location is rated as Medium sensitivity for </w:t>
      </w:r>
      <w:r w:rsidR="0049504C">
        <w:rPr>
          <w:rFonts w:asciiTheme="minorHAnsi" w:hAnsiTheme="minorHAnsi" w:cstheme="minorHAnsi"/>
          <w:sz w:val="22"/>
          <w:szCs w:val="22"/>
        </w:rPr>
        <w:t>r</w:t>
      </w:r>
      <w:r>
        <w:rPr>
          <w:rFonts w:asciiTheme="minorHAnsi" w:hAnsiTheme="minorHAnsi" w:cstheme="minorHAnsi"/>
          <w:sz w:val="22"/>
          <w:szCs w:val="22"/>
        </w:rPr>
        <w:t xml:space="preserve">ockshelter sites due to the presence of conglomerate ridges.  These do not extend into the investigation </w:t>
      </w:r>
      <w:r w:rsidR="007212A8">
        <w:rPr>
          <w:rFonts w:asciiTheme="minorHAnsi" w:hAnsiTheme="minorHAnsi" w:cstheme="minorHAnsi"/>
          <w:sz w:val="22"/>
          <w:szCs w:val="22"/>
        </w:rPr>
        <w:t>area,</w:t>
      </w:r>
      <w:r>
        <w:rPr>
          <w:rFonts w:asciiTheme="minorHAnsi" w:hAnsiTheme="minorHAnsi" w:cstheme="minorHAnsi"/>
          <w:sz w:val="22"/>
          <w:szCs w:val="22"/>
        </w:rPr>
        <w:t xml:space="preserve"> however.</w:t>
      </w:r>
    </w:p>
    <w:p w14:paraId="3521CC0F" w14:textId="5F8328A8" w:rsidR="00B4358B" w:rsidRPr="00114AC1" w:rsidRDefault="00B4358B" w:rsidP="00B4358B">
      <w:pPr>
        <w:pStyle w:val="Default"/>
        <w:spacing w:before="240"/>
        <w:ind w:right="-568"/>
        <w:rPr>
          <w:rFonts w:asciiTheme="minorHAnsi" w:hAnsiTheme="minorHAnsi" w:cstheme="minorHAnsi"/>
          <w:b/>
          <w:bCs/>
          <w:sz w:val="22"/>
          <w:szCs w:val="22"/>
        </w:rPr>
      </w:pPr>
      <w:r w:rsidRPr="00114AC1">
        <w:rPr>
          <w:rFonts w:asciiTheme="minorHAnsi" w:hAnsiTheme="minorHAnsi" w:cstheme="minorHAnsi"/>
          <w:b/>
          <w:bCs/>
          <w:sz w:val="22"/>
          <w:szCs w:val="22"/>
        </w:rPr>
        <w:t>TR-BH0</w:t>
      </w:r>
      <w:r w:rsidRPr="00114AC1">
        <w:rPr>
          <w:rFonts w:asciiTheme="minorHAnsi" w:hAnsiTheme="minorHAnsi" w:cstheme="minorHAnsi"/>
          <w:b/>
          <w:bCs/>
          <w:sz w:val="22"/>
          <w:szCs w:val="22"/>
        </w:rPr>
        <w:t>3</w:t>
      </w:r>
    </w:p>
    <w:p w14:paraId="781179B1" w14:textId="39AC45F6" w:rsidR="0049504C" w:rsidRDefault="0049504C" w:rsidP="0049504C">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The borehole site is situated in a north-west facing gully on </w:t>
      </w:r>
      <w:r>
        <w:rPr>
          <w:rFonts w:asciiTheme="minorHAnsi" w:hAnsiTheme="minorHAnsi" w:cstheme="minorHAnsi"/>
          <w:sz w:val="22"/>
          <w:szCs w:val="22"/>
        </w:rPr>
        <w:t xml:space="preserve">moderately inclined </w:t>
      </w:r>
      <w:r>
        <w:rPr>
          <w:rFonts w:asciiTheme="minorHAnsi" w:hAnsiTheme="minorHAnsi" w:cstheme="minorHAnsi"/>
          <w:sz w:val="22"/>
          <w:szCs w:val="22"/>
        </w:rPr>
        <w:t xml:space="preserve">ground (approximately </w:t>
      </w:r>
      <w:r>
        <w:rPr>
          <w:rFonts w:asciiTheme="minorHAnsi" w:hAnsiTheme="minorHAnsi" w:cstheme="minorHAnsi"/>
          <w:sz w:val="22"/>
          <w:szCs w:val="22"/>
        </w:rPr>
        <w:t>13</w:t>
      </w:r>
      <w:r w:rsidRPr="00CA3A8D">
        <w:rPr>
          <w:rFonts w:asciiTheme="minorHAnsi" w:hAnsiTheme="minorHAnsi" w:cstheme="minorHAnsi"/>
          <w:sz w:val="22"/>
          <w:szCs w:val="22"/>
          <w:vertAlign w:val="superscript"/>
        </w:rPr>
        <w:t>o</w:t>
      </w:r>
      <w:r>
        <w:rPr>
          <w:rFonts w:asciiTheme="minorHAnsi" w:hAnsiTheme="minorHAnsi" w:cstheme="minorHAnsi"/>
          <w:sz w:val="22"/>
          <w:szCs w:val="22"/>
        </w:rPr>
        <w:t xml:space="preserve"> slope). The resident geology comprises Owen Conglomerate mantled with Pleistocene glacial deposits. The area </w:t>
      </w:r>
      <w:r>
        <w:rPr>
          <w:rFonts w:asciiTheme="minorHAnsi" w:hAnsiTheme="minorHAnsi" w:cstheme="minorHAnsi"/>
          <w:sz w:val="22"/>
          <w:szCs w:val="22"/>
        </w:rPr>
        <w:t xml:space="preserve">approximately 150m </w:t>
      </w:r>
      <w:r>
        <w:rPr>
          <w:rFonts w:asciiTheme="minorHAnsi" w:hAnsiTheme="minorHAnsi" w:cstheme="minorHAnsi"/>
          <w:sz w:val="22"/>
          <w:szCs w:val="22"/>
        </w:rPr>
        <w:t xml:space="preserve">upslope of the borehole location is rated as Medium sensitivity </w:t>
      </w:r>
      <w:r>
        <w:rPr>
          <w:rFonts w:asciiTheme="minorHAnsi" w:hAnsiTheme="minorHAnsi" w:cstheme="minorHAnsi"/>
          <w:sz w:val="22"/>
          <w:szCs w:val="22"/>
        </w:rPr>
        <w:t>in the Aboriginal heritage risk map due to the presence of elevated conglomerate spurs, although cliffing, with allied potential for rockshelter formation, is unlikely.</w:t>
      </w:r>
    </w:p>
    <w:p w14:paraId="5EB842D5" w14:textId="3725A2DA" w:rsidR="00C7365E" w:rsidRDefault="00C7365E"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Aerial imagery and drive-by reconnaissance indicate that the </w:t>
      </w:r>
      <w:r w:rsidR="007212A8">
        <w:rPr>
          <w:rFonts w:asciiTheme="minorHAnsi" w:hAnsiTheme="minorHAnsi" w:cstheme="minorHAnsi"/>
          <w:sz w:val="22"/>
          <w:szCs w:val="22"/>
        </w:rPr>
        <w:t>GSV</w:t>
      </w:r>
      <w:r>
        <w:rPr>
          <w:rFonts w:asciiTheme="minorHAnsi" w:hAnsiTheme="minorHAnsi" w:cstheme="minorHAnsi"/>
          <w:sz w:val="22"/>
          <w:szCs w:val="22"/>
        </w:rPr>
        <w:t xml:space="preserve"> conditions for survey</w:t>
      </w:r>
      <w:r w:rsidR="0049504C">
        <w:rPr>
          <w:rFonts w:asciiTheme="minorHAnsi" w:hAnsiTheme="minorHAnsi" w:cstheme="minorHAnsi"/>
          <w:sz w:val="22"/>
          <w:szCs w:val="22"/>
        </w:rPr>
        <w:t xml:space="preserve"> at both borehole locations, the access track and pipeline</w:t>
      </w:r>
      <w:r>
        <w:rPr>
          <w:rFonts w:asciiTheme="minorHAnsi" w:hAnsiTheme="minorHAnsi" w:cstheme="minorHAnsi"/>
          <w:sz w:val="22"/>
          <w:szCs w:val="22"/>
        </w:rPr>
        <w:t xml:space="preserve"> will effectively be 0%, negating the value of any field survey. The potential for Aboriginal sites to be present </w:t>
      </w:r>
      <w:r w:rsidR="00B4358B">
        <w:rPr>
          <w:rFonts w:asciiTheme="minorHAnsi" w:hAnsiTheme="minorHAnsi" w:cstheme="minorHAnsi"/>
          <w:sz w:val="22"/>
          <w:szCs w:val="22"/>
        </w:rPr>
        <w:t>in terrain</w:t>
      </w:r>
      <w:r w:rsidR="0049504C">
        <w:rPr>
          <w:rFonts w:asciiTheme="minorHAnsi" w:hAnsiTheme="minorHAnsi" w:cstheme="minorHAnsi"/>
          <w:sz w:val="22"/>
          <w:szCs w:val="22"/>
        </w:rPr>
        <w:t xml:space="preserve"> above 10</w:t>
      </w:r>
      <w:r w:rsidR="0049504C" w:rsidRPr="00114AC1">
        <w:rPr>
          <w:rFonts w:asciiTheme="minorHAnsi" w:hAnsiTheme="minorHAnsi" w:cstheme="minorHAnsi"/>
          <w:sz w:val="22"/>
          <w:szCs w:val="22"/>
          <w:vertAlign w:val="superscript"/>
        </w:rPr>
        <w:t>o</w:t>
      </w:r>
      <w:r w:rsidR="0049504C">
        <w:rPr>
          <w:rFonts w:asciiTheme="minorHAnsi" w:hAnsiTheme="minorHAnsi" w:cstheme="minorHAnsi"/>
          <w:sz w:val="22"/>
          <w:szCs w:val="22"/>
        </w:rPr>
        <w:t xml:space="preserve"> ground slope</w:t>
      </w:r>
      <w:r w:rsidR="00B4358B">
        <w:rPr>
          <w:rFonts w:asciiTheme="minorHAnsi" w:hAnsiTheme="minorHAnsi" w:cstheme="minorHAnsi"/>
          <w:sz w:val="22"/>
          <w:szCs w:val="22"/>
        </w:rPr>
        <w:t xml:space="preserve">, or be </w:t>
      </w:r>
      <w:r w:rsidR="0049504C">
        <w:rPr>
          <w:rFonts w:asciiTheme="minorHAnsi" w:hAnsiTheme="minorHAnsi" w:cstheme="minorHAnsi"/>
          <w:sz w:val="22"/>
          <w:szCs w:val="22"/>
        </w:rPr>
        <w:t>detectable</w:t>
      </w:r>
      <w:r w:rsidR="00B4358B">
        <w:rPr>
          <w:rFonts w:asciiTheme="minorHAnsi" w:hAnsiTheme="minorHAnsi" w:cstheme="minorHAnsi"/>
          <w:sz w:val="22"/>
          <w:szCs w:val="22"/>
        </w:rPr>
        <w:t xml:space="preserve"> due to vegetation cover, is practically nil. For this reason, coupled with the </w:t>
      </w:r>
      <w:r w:rsidR="0049504C">
        <w:rPr>
          <w:rFonts w:asciiTheme="minorHAnsi" w:hAnsiTheme="minorHAnsi" w:cstheme="minorHAnsi"/>
          <w:sz w:val="22"/>
          <w:szCs w:val="22"/>
        </w:rPr>
        <w:t xml:space="preserve">relatively </w:t>
      </w:r>
      <w:r w:rsidR="00B4358B">
        <w:rPr>
          <w:rFonts w:asciiTheme="minorHAnsi" w:hAnsiTheme="minorHAnsi" w:cstheme="minorHAnsi"/>
          <w:sz w:val="22"/>
          <w:szCs w:val="22"/>
        </w:rPr>
        <w:t xml:space="preserve">low impact footprint of the </w:t>
      </w:r>
      <w:r w:rsidR="0049504C">
        <w:rPr>
          <w:rFonts w:asciiTheme="minorHAnsi" w:hAnsiTheme="minorHAnsi" w:cstheme="minorHAnsi"/>
          <w:sz w:val="22"/>
          <w:szCs w:val="22"/>
        </w:rPr>
        <w:t xml:space="preserve">proposed </w:t>
      </w:r>
      <w:r w:rsidR="00B4358B">
        <w:rPr>
          <w:rFonts w:asciiTheme="minorHAnsi" w:hAnsiTheme="minorHAnsi" w:cstheme="minorHAnsi"/>
          <w:sz w:val="22"/>
          <w:szCs w:val="22"/>
        </w:rPr>
        <w:t xml:space="preserve">investigation mode, field survey of the TR-BH02A and TR-BH03 locations and allied infrastructure is not </w:t>
      </w:r>
      <w:bookmarkStart w:id="0" w:name="_GoBack"/>
      <w:bookmarkEnd w:id="0"/>
      <w:r w:rsidR="00B4358B">
        <w:rPr>
          <w:rFonts w:asciiTheme="minorHAnsi" w:hAnsiTheme="minorHAnsi" w:cstheme="minorHAnsi"/>
          <w:sz w:val="22"/>
          <w:szCs w:val="22"/>
        </w:rPr>
        <w:t>considered warranted.</w:t>
      </w:r>
    </w:p>
    <w:p w14:paraId="645D634E" w14:textId="645F1CA4" w:rsidR="00042A65" w:rsidRPr="00FE6189" w:rsidRDefault="00042A65" w:rsidP="00904514">
      <w:pPr>
        <w:pStyle w:val="Heading1"/>
        <w:ind w:right="-568"/>
        <w:rPr>
          <w:sz w:val="28"/>
          <w:szCs w:val="28"/>
        </w:rPr>
      </w:pPr>
      <w:r>
        <w:rPr>
          <w:sz w:val="28"/>
          <w:szCs w:val="28"/>
        </w:rPr>
        <w:t>Manag</w:t>
      </w:r>
      <w:r w:rsidR="0049504C">
        <w:rPr>
          <w:sz w:val="28"/>
          <w:szCs w:val="28"/>
        </w:rPr>
        <w:t>ing potential Aboriginal heritage impacts</w:t>
      </w:r>
    </w:p>
    <w:p w14:paraId="5E4AA193" w14:textId="2FDAA24C" w:rsidR="00C27E37" w:rsidRDefault="00F854ED"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 xml:space="preserve">During reconnaissance </w:t>
      </w:r>
      <w:r w:rsidR="00C27E37">
        <w:rPr>
          <w:rFonts w:asciiTheme="minorHAnsi" w:hAnsiTheme="minorHAnsi" w:cstheme="minorHAnsi"/>
          <w:sz w:val="22"/>
          <w:szCs w:val="22"/>
        </w:rPr>
        <w:t>for the site assessments it</w:t>
      </w:r>
      <w:r>
        <w:rPr>
          <w:rFonts w:asciiTheme="minorHAnsi" w:hAnsiTheme="minorHAnsi" w:cstheme="minorHAnsi"/>
          <w:sz w:val="22"/>
          <w:szCs w:val="22"/>
        </w:rPr>
        <w:t xml:space="preserve"> was observed that </w:t>
      </w:r>
      <w:r w:rsidR="00C27E37">
        <w:rPr>
          <w:rFonts w:asciiTheme="minorHAnsi" w:hAnsiTheme="minorHAnsi" w:cstheme="minorHAnsi"/>
          <w:sz w:val="22"/>
          <w:szCs w:val="22"/>
        </w:rPr>
        <w:t xml:space="preserve">extremely low GSV is the norm for the Tribute PH scheme area. Under these conditions there is little </w:t>
      </w:r>
      <w:r w:rsidR="0049504C">
        <w:rPr>
          <w:rFonts w:asciiTheme="minorHAnsi" w:hAnsiTheme="minorHAnsi" w:cstheme="minorHAnsi"/>
          <w:sz w:val="22"/>
          <w:szCs w:val="22"/>
        </w:rPr>
        <w:t>value in</w:t>
      </w:r>
      <w:r w:rsidR="0049504C">
        <w:rPr>
          <w:rFonts w:asciiTheme="minorHAnsi" w:hAnsiTheme="minorHAnsi" w:cstheme="minorHAnsi"/>
          <w:sz w:val="22"/>
          <w:szCs w:val="22"/>
        </w:rPr>
        <w:t xml:space="preserve"> </w:t>
      </w:r>
      <w:r w:rsidR="00C27E37">
        <w:rPr>
          <w:rFonts w:asciiTheme="minorHAnsi" w:hAnsiTheme="minorHAnsi" w:cstheme="minorHAnsi"/>
          <w:sz w:val="22"/>
          <w:szCs w:val="22"/>
        </w:rPr>
        <w:t xml:space="preserve">undertaking further Aboriginal heritage assessments for individual geotech test sites. Some means of improving GSV will </w:t>
      </w:r>
      <w:r w:rsidR="00C27E37">
        <w:rPr>
          <w:rFonts w:asciiTheme="minorHAnsi" w:hAnsiTheme="minorHAnsi" w:cstheme="minorHAnsi"/>
          <w:sz w:val="22"/>
          <w:szCs w:val="22"/>
        </w:rPr>
        <w:lastRenderedPageBreak/>
        <w:t>be necessary before surface survey can be deemed an effective assessment method for Aboriginal heritage.</w:t>
      </w:r>
    </w:p>
    <w:p w14:paraId="1B05C2D6" w14:textId="7EACAEF5" w:rsidR="00C27E37" w:rsidRDefault="00C27E37" w:rsidP="00904514">
      <w:pPr>
        <w:pStyle w:val="Default"/>
        <w:spacing w:before="240"/>
        <w:ind w:right="-568"/>
        <w:rPr>
          <w:rFonts w:asciiTheme="minorHAnsi" w:hAnsiTheme="minorHAnsi" w:cstheme="minorHAnsi"/>
          <w:sz w:val="22"/>
          <w:szCs w:val="22"/>
        </w:rPr>
      </w:pPr>
      <w:r>
        <w:rPr>
          <w:rFonts w:asciiTheme="minorHAnsi" w:hAnsiTheme="minorHAnsi" w:cstheme="minorHAnsi"/>
          <w:sz w:val="22"/>
          <w:szCs w:val="22"/>
        </w:rPr>
        <w:t>With this in mind the following recommendations are made:</w:t>
      </w:r>
    </w:p>
    <w:p w14:paraId="1EF81F07" w14:textId="65777979" w:rsidR="00F854ED" w:rsidRDefault="00F854ED" w:rsidP="00904514">
      <w:pPr>
        <w:pStyle w:val="Default"/>
        <w:numPr>
          <w:ilvl w:val="0"/>
          <w:numId w:val="28"/>
        </w:numPr>
        <w:spacing w:before="240"/>
        <w:ind w:right="-568"/>
        <w:rPr>
          <w:rFonts w:asciiTheme="minorHAnsi" w:hAnsiTheme="minorHAnsi" w:cstheme="minorHAnsi"/>
          <w:sz w:val="22"/>
          <w:szCs w:val="22"/>
        </w:rPr>
      </w:pPr>
      <w:r>
        <w:rPr>
          <w:rFonts w:asciiTheme="minorHAnsi" w:hAnsiTheme="minorHAnsi" w:cstheme="minorHAnsi"/>
          <w:sz w:val="22"/>
          <w:szCs w:val="22"/>
        </w:rPr>
        <w:t xml:space="preserve">No further assessment of the </w:t>
      </w:r>
      <w:r w:rsidR="00C27E37">
        <w:rPr>
          <w:rFonts w:asciiTheme="minorHAnsi" w:hAnsiTheme="minorHAnsi" w:cstheme="minorHAnsi"/>
          <w:sz w:val="22"/>
          <w:szCs w:val="22"/>
        </w:rPr>
        <w:t xml:space="preserve">proposed </w:t>
      </w:r>
      <w:r>
        <w:rPr>
          <w:rFonts w:asciiTheme="minorHAnsi" w:hAnsiTheme="minorHAnsi" w:cstheme="minorHAnsi"/>
          <w:sz w:val="22"/>
          <w:szCs w:val="22"/>
        </w:rPr>
        <w:t xml:space="preserve">Lake Plimsoll intake is warranted until such time as </w:t>
      </w:r>
      <w:r w:rsidR="00C27E37">
        <w:rPr>
          <w:rFonts w:asciiTheme="minorHAnsi" w:hAnsiTheme="minorHAnsi" w:cstheme="minorHAnsi"/>
          <w:sz w:val="22"/>
          <w:szCs w:val="22"/>
        </w:rPr>
        <w:t>GSV</w:t>
      </w:r>
      <w:r>
        <w:rPr>
          <w:rFonts w:asciiTheme="minorHAnsi" w:hAnsiTheme="minorHAnsi" w:cstheme="minorHAnsi"/>
          <w:sz w:val="22"/>
          <w:szCs w:val="22"/>
        </w:rPr>
        <w:t xml:space="preserve"> is increased above 10%</w:t>
      </w:r>
    </w:p>
    <w:p w14:paraId="5D068767" w14:textId="5C1B2722" w:rsidR="00C27E37" w:rsidRDefault="00C27E37" w:rsidP="00904514">
      <w:pPr>
        <w:pStyle w:val="Default"/>
        <w:numPr>
          <w:ilvl w:val="0"/>
          <w:numId w:val="28"/>
        </w:numPr>
        <w:spacing w:before="240"/>
        <w:ind w:right="-568"/>
        <w:rPr>
          <w:rFonts w:asciiTheme="minorHAnsi" w:hAnsiTheme="minorHAnsi" w:cstheme="minorHAnsi"/>
          <w:sz w:val="22"/>
          <w:szCs w:val="22"/>
        </w:rPr>
      </w:pPr>
      <w:r>
        <w:rPr>
          <w:rFonts w:asciiTheme="minorHAnsi" w:hAnsiTheme="minorHAnsi" w:cstheme="minorHAnsi"/>
          <w:sz w:val="22"/>
          <w:szCs w:val="22"/>
        </w:rPr>
        <w:t>No further assessment of the propos</w:t>
      </w:r>
      <w:r w:rsidR="00E33E4B">
        <w:rPr>
          <w:rFonts w:asciiTheme="minorHAnsi" w:hAnsiTheme="minorHAnsi" w:cstheme="minorHAnsi"/>
          <w:sz w:val="22"/>
          <w:szCs w:val="22"/>
        </w:rPr>
        <w:t>ed power station</w:t>
      </w:r>
      <w:r>
        <w:rPr>
          <w:rFonts w:asciiTheme="minorHAnsi" w:hAnsiTheme="minorHAnsi" w:cstheme="minorHAnsi"/>
          <w:sz w:val="22"/>
          <w:szCs w:val="22"/>
        </w:rPr>
        <w:t>/switchyard site is warranted until such time as GSV is increased above 10%</w:t>
      </w:r>
    </w:p>
    <w:p w14:paraId="258D398E" w14:textId="337C03E7" w:rsidR="00F854ED" w:rsidRDefault="00C27E37" w:rsidP="00904514">
      <w:pPr>
        <w:pStyle w:val="Default"/>
        <w:numPr>
          <w:ilvl w:val="0"/>
          <w:numId w:val="28"/>
        </w:numPr>
        <w:spacing w:before="240"/>
        <w:ind w:right="-568"/>
        <w:rPr>
          <w:rFonts w:asciiTheme="minorHAnsi" w:hAnsiTheme="minorHAnsi" w:cstheme="minorHAnsi"/>
          <w:sz w:val="22"/>
          <w:szCs w:val="22"/>
        </w:rPr>
      </w:pPr>
      <w:r>
        <w:rPr>
          <w:rFonts w:asciiTheme="minorHAnsi" w:hAnsiTheme="minorHAnsi" w:cstheme="minorHAnsi"/>
          <w:sz w:val="22"/>
          <w:szCs w:val="22"/>
        </w:rPr>
        <w:t xml:space="preserve">Ground survey of the proposed Lake Mackintosh intake </w:t>
      </w:r>
      <w:r w:rsidR="007212A8">
        <w:rPr>
          <w:rFonts w:asciiTheme="minorHAnsi" w:hAnsiTheme="minorHAnsi" w:cstheme="minorHAnsi"/>
          <w:sz w:val="22"/>
          <w:szCs w:val="22"/>
        </w:rPr>
        <w:t xml:space="preserve">(TR-BH07) </w:t>
      </w:r>
      <w:r>
        <w:rPr>
          <w:rFonts w:asciiTheme="minorHAnsi" w:hAnsiTheme="minorHAnsi" w:cstheme="minorHAnsi"/>
          <w:sz w:val="22"/>
          <w:szCs w:val="22"/>
        </w:rPr>
        <w:t xml:space="preserve">is not </w:t>
      </w:r>
      <w:r w:rsidR="000E2B7E">
        <w:rPr>
          <w:rFonts w:asciiTheme="minorHAnsi" w:hAnsiTheme="minorHAnsi" w:cstheme="minorHAnsi"/>
          <w:sz w:val="22"/>
          <w:szCs w:val="22"/>
        </w:rPr>
        <w:t xml:space="preserve">currently </w:t>
      </w:r>
      <w:r>
        <w:rPr>
          <w:rFonts w:asciiTheme="minorHAnsi" w:hAnsiTheme="minorHAnsi" w:cstheme="minorHAnsi"/>
          <w:sz w:val="22"/>
          <w:szCs w:val="22"/>
        </w:rPr>
        <w:t>recommended owing to the extreme steepness of slope, difficulty of access and likely 0% GSV. No further assessment of this area is warranted until these issues have been moderated.</w:t>
      </w:r>
    </w:p>
    <w:p w14:paraId="17F8A1FE" w14:textId="7191102D" w:rsidR="007212A8" w:rsidRDefault="000E2B7E" w:rsidP="00904514">
      <w:pPr>
        <w:pStyle w:val="Default"/>
        <w:numPr>
          <w:ilvl w:val="0"/>
          <w:numId w:val="28"/>
        </w:numPr>
        <w:spacing w:before="240"/>
        <w:ind w:right="-568"/>
        <w:rPr>
          <w:rFonts w:asciiTheme="minorHAnsi" w:hAnsiTheme="minorHAnsi" w:cstheme="minorHAnsi"/>
          <w:sz w:val="22"/>
          <w:szCs w:val="22"/>
        </w:rPr>
      </w:pPr>
      <w:r>
        <w:rPr>
          <w:rFonts w:asciiTheme="minorHAnsi" w:hAnsiTheme="minorHAnsi" w:cstheme="minorHAnsi"/>
          <w:sz w:val="22"/>
          <w:szCs w:val="22"/>
        </w:rPr>
        <w:t>G</w:t>
      </w:r>
      <w:r w:rsidR="00040B27">
        <w:rPr>
          <w:rFonts w:asciiTheme="minorHAnsi" w:hAnsiTheme="minorHAnsi" w:cstheme="minorHAnsi"/>
          <w:sz w:val="22"/>
          <w:szCs w:val="22"/>
        </w:rPr>
        <w:t>e</w:t>
      </w:r>
      <w:r>
        <w:rPr>
          <w:rFonts w:asciiTheme="minorHAnsi" w:hAnsiTheme="minorHAnsi" w:cstheme="minorHAnsi"/>
          <w:sz w:val="22"/>
          <w:szCs w:val="22"/>
        </w:rPr>
        <w:t xml:space="preserve">otechnical investigation sites </w:t>
      </w:r>
      <w:r w:rsidR="00040B27">
        <w:rPr>
          <w:rFonts w:asciiTheme="minorHAnsi" w:hAnsiTheme="minorHAnsi" w:cstheme="minorHAnsi"/>
          <w:sz w:val="22"/>
          <w:szCs w:val="22"/>
        </w:rPr>
        <w:t>TR-BH02</w:t>
      </w:r>
      <w:r w:rsidR="007212A8">
        <w:rPr>
          <w:rFonts w:asciiTheme="minorHAnsi" w:hAnsiTheme="minorHAnsi" w:cstheme="minorHAnsi"/>
          <w:sz w:val="22"/>
          <w:szCs w:val="22"/>
        </w:rPr>
        <w:t>A</w:t>
      </w:r>
      <w:r>
        <w:rPr>
          <w:rFonts w:asciiTheme="minorHAnsi" w:hAnsiTheme="minorHAnsi" w:cstheme="minorHAnsi"/>
          <w:sz w:val="22"/>
          <w:szCs w:val="22"/>
        </w:rPr>
        <w:t xml:space="preserve"> and T</w:t>
      </w:r>
      <w:r w:rsidR="00040B27">
        <w:rPr>
          <w:rFonts w:asciiTheme="minorHAnsi" w:hAnsiTheme="minorHAnsi" w:cstheme="minorHAnsi"/>
          <w:sz w:val="22"/>
          <w:szCs w:val="22"/>
        </w:rPr>
        <w:t>R-BH0</w:t>
      </w:r>
      <w:r>
        <w:rPr>
          <w:rFonts w:asciiTheme="minorHAnsi" w:hAnsiTheme="minorHAnsi" w:cstheme="minorHAnsi"/>
          <w:sz w:val="22"/>
          <w:szCs w:val="22"/>
        </w:rPr>
        <w:t xml:space="preserve">3 </w:t>
      </w:r>
      <w:r w:rsidR="007212A8">
        <w:rPr>
          <w:rFonts w:asciiTheme="minorHAnsi" w:hAnsiTheme="minorHAnsi" w:cstheme="minorHAnsi"/>
          <w:sz w:val="22"/>
          <w:szCs w:val="22"/>
        </w:rPr>
        <w:t>will</w:t>
      </w:r>
      <w:r>
        <w:rPr>
          <w:rFonts w:asciiTheme="minorHAnsi" w:hAnsiTheme="minorHAnsi" w:cstheme="minorHAnsi"/>
          <w:sz w:val="22"/>
          <w:szCs w:val="22"/>
        </w:rPr>
        <w:t xml:space="preserve"> be accessed via helicopter and a pedestrian walking track.  </w:t>
      </w:r>
      <w:r w:rsidR="007212A8">
        <w:rPr>
          <w:rFonts w:asciiTheme="minorHAnsi" w:hAnsiTheme="minorHAnsi" w:cstheme="minorHAnsi"/>
          <w:sz w:val="22"/>
          <w:szCs w:val="22"/>
        </w:rPr>
        <w:t xml:space="preserve">The potential for detecting or impacting Aboriginal relics in these areas is considered low. Potential impacts to any Aboriginal relics encountered during geotechnical investigations or preparatory works (i.e. track cutting or pipeline laying) should be managed during works by avoiding the affected relic/s. </w:t>
      </w:r>
    </w:p>
    <w:p w14:paraId="018A2F9B" w14:textId="6FEE7065" w:rsidR="00D14A0D" w:rsidRDefault="000E2B7E" w:rsidP="00904514">
      <w:pPr>
        <w:pStyle w:val="Default"/>
        <w:numPr>
          <w:ilvl w:val="0"/>
          <w:numId w:val="28"/>
        </w:numPr>
        <w:spacing w:before="240"/>
        <w:ind w:right="-568"/>
        <w:rPr>
          <w:rFonts w:asciiTheme="minorHAnsi" w:hAnsiTheme="minorHAnsi" w:cstheme="minorHAnsi"/>
          <w:sz w:val="22"/>
          <w:szCs w:val="22"/>
        </w:rPr>
      </w:pPr>
      <w:r>
        <w:rPr>
          <w:rFonts w:asciiTheme="minorHAnsi" w:hAnsiTheme="minorHAnsi" w:cstheme="minorHAnsi"/>
          <w:sz w:val="22"/>
          <w:szCs w:val="22"/>
        </w:rPr>
        <w:t xml:space="preserve">Geotechnical investigation sites TR-BH04 and TR-BH05 are accessible via Anthony Road and are unlikely to require significant ground disturbance for access.  TR-BH04 is situated in the centre of a narrow drainage gully that is considered to have low potential for Aboriginal heritage.  </w:t>
      </w:r>
      <w:r w:rsidR="00D14A0D">
        <w:rPr>
          <w:rFonts w:asciiTheme="minorHAnsi" w:hAnsiTheme="minorHAnsi" w:cstheme="minorHAnsi"/>
          <w:sz w:val="22"/>
          <w:szCs w:val="22"/>
        </w:rPr>
        <w:t>TR-BH05 is situated on the west side of a small saddle with more positive attributes for Aboriginal heritage, however the area is thickly vegetated. No further assessment of either location is warranted until such time as GSV is increased above 10%</w:t>
      </w:r>
      <w:r w:rsidR="007212A8">
        <w:rPr>
          <w:rFonts w:asciiTheme="minorHAnsi" w:hAnsiTheme="minorHAnsi" w:cstheme="minorHAnsi"/>
          <w:sz w:val="22"/>
          <w:szCs w:val="22"/>
        </w:rPr>
        <w:t xml:space="preserve"> and the access arrangements are clearly known.</w:t>
      </w:r>
    </w:p>
    <w:p w14:paraId="033E6278" w14:textId="136C87B0" w:rsidR="00040B27" w:rsidRDefault="007212A8" w:rsidP="00904514">
      <w:pPr>
        <w:pStyle w:val="Default"/>
        <w:numPr>
          <w:ilvl w:val="0"/>
          <w:numId w:val="28"/>
        </w:numPr>
        <w:spacing w:before="240"/>
        <w:ind w:right="-568"/>
        <w:rPr>
          <w:rFonts w:asciiTheme="minorHAnsi" w:hAnsiTheme="minorHAnsi" w:cstheme="minorHAnsi"/>
          <w:sz w:val="22"/>
          <w:szCs w:val="22"/>
        </w:rPr>
      </w:pPr>
      <w:r>
        <w:rPr>
          <w:rFonts w:asciiTheme="minorHAnsi" w:hAnsiTheme="minorHAnsi" w:cstheme="minorHAnsi"/>
          <w:sz w:val="22"/>
          <w:szCs w:val="22"/>
        </w:rPr>
        <w:t>As a rule</w:t>
      </w:r>
      <w:r w:rsidR="000E2B7E">
        <w:rPr>
          <w:rFonts w:asciiTheme="minorHAnsi" w:hAnsiTheme="minorHAnsi" w:cstheme="minorHAnsi"/>
          <w:sz w:val="22"/>
          <w:szCs w:val="22"/>
        </w:rPr>
        <w:t>, a</w:t>
      </w:r>
      <w:r>
        <w:rPr>
          <w:rFonts w:asciiTheme="minorHAnsi" w:hAnsiTheme="minorHAnsi" w:cstheme="minorHAnsi"/>
          <w:sz w:val="22"/>
          <w:szCs w:val="22"/>
        </w:rPr>
        <w:t>ll</w:t>
      </w:r>
      <w:r w:rsidR="000E2B7E">
        <w:rPr>
          <w:rFonts w:asciiTheme="minorHAnsi" w:hAnsiTheme="minorHAnsi" w:cstheme="minorHAnsi"/>
          <w:sz w:val="22"/>
          <w:szCs w:val="22"/>
        </w:rPr>
        <w:t xml:space="preserve"> workers or contractors engaged in ground-disturbing works or cutting tracks etc. should be aware of, and capable of implementing, Aboriginal Tasmania’s Unanticipated Discovery Plan.</w:t>
      </w:r>
      <w:r>
        <w:rPr>
          <w:rFonts w:asciiTheme="minorHAnsi" w:hAnsiTheme="minorHAnsi" w:cstheme="minorHAnsi"/>
          <w:sz w:val="22"/>
          <w:szCs w:val="22"/>
        </w:rPr>
        <w:t xml:space="preserve"> A copy of the UDP should be included in contract specifications and be kept on hand during all site works.</w:t>
      </w:r>
    </w:p>
    <w:p w14:paraId="0F59B1F3" w14:textId="3F42B32A" w:rsidR="008B573A" w:rsidRPr="008B573A" w:rsidRDefault="008B573A" w:rsidP="00904514">
      <w:pPr>
        <w:pStyle w:val="Default"/>
        <w:spacing w:before="240"/>
        <w:ind w:right="-568"/>
        <w:rPr>
          <w:rFonts w:asciiTheme="minorHAnsi" w:hAnsiTheme="minorHAnsi" w:cstheme="minorHAnsi"/>
          <w:sz w:val="18"/>
          <w:szCs w:val="18"/>
        </w:rPr>
      </w:pPr>
    </w:p>
    <w:sectPr w:rsidR="008B573A" w:rsidRPr="008B573A" w:rsidSect="003B500E">
      <w:headerReference w:type="even" r:id="rId12"/>
      <w:headerReference w:type="default" r:id="rId13"/>
      <w:footerReference w:type="even" r:id="rId14"/>
      <w:footerReference w:type="default" r:id="rId15"/>
      <w:headerReference w:type="first" r:id="rId16"/>
      <w:footerReference w:type="first" r:id="rId17"/>
      <w:pgSz w:w="11907" w:h="16839" w:code="9"/>
      <w:pgMar w:top="1701" w:right="1985" w:bottom="1134" w:left="1418" w:header="794"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E7248" w14:textId="77777777" w:rsidR="00A24DC5" w:rsidRDefault="00A24DC5">
      <w:r>
        <w:separator/>
      </w:r>
    </w:p>
  </w:endnote>
  <w:endnote w:type="continuationSeparator" w:id="0">
    <w:p w14:paraId="0676CBA9" w14:textId="77777777" w:rsidR="00A24DC5" w:rsidRDefault="00A2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6864A" w14:textId="77777777" w:rsidR="009612E9" w:rsidRDefault="009612E9" w:rsidP="003B500E">
    <w:pPr>
      <w:pStyle w:val="Footer"/>
      <w:tabs>
        <w:tab w:val="clear" w:pos="9350"/>
        <w:tab w:val="right" w:pos="850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6864B" w14:textId="4864E8B3" w:rsidR="009612E9" w:rsidRPr="00157E17" w:rsidRDefault="002A7A1B" w:rsidP="002A7A1B">
    <w:pPr>
      <w:pStyle w:val="Footer"/>
      <w:tabs>
        <w:tab w:val="clear" w:pos="9350"/>
        <w:tab w:val="right" w:pos="8504"/>
      </w:tabs>
      <w:rPr>
        <w:rStyle w:val="PageNumber"/>
      </w:rPr>
    </w:pPr>
    <w:r w:rsidRPr="00210765">
      <w:rPr>
        <w:b/>
      </w:rPr>
      <w:t>Gondwana Heritage Solutions</w:t>
    </w:r>
    <w:r>
      <w:rPr>
        <w:rStyle w:val="PageNumber"/>
      </w:rPr>
      <w:tab/>
    </w:r>
    <w:r w:rsidR="009612E9" w:rsidRPr="00157E17">
      <w:rPr>
        <w:rStyle w:val="PageNumber"/>
      </w:rPr>
      <w:fldChar w:fldCharType="begin"/>
    </w:r>
    <w:r w:rsidR="009612E9" w:rsidRPr="00157E17">
      <w:rPr>
        <w:rStyle w:val="PageNumber"/>
      </w:rPr>
      <w:instrText xml:space="preserve"> PAGE </w:instrText>
    </w:r>
    <w:r w:rsidR="009612E9" w:rsidRPr="00157E17">
      <w:rPr>
        <w:rStyle w:val="PageNumber"/>
      </w:rPr>
      <w:fldChar w:fldCharType="separate"/>
    </w:r>
    <w:r w:rsidR="00682991">
      <w:rPr>
        <w:rStyle w:val="PageNumber"/>
      </w:rPr>
      <w:t>3</w:t>
    </w:r>
    <w:r w:rsidR="009612E9" w:rsidRPr="00157E1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B1D59" w14:textId="77777777" w:rsidR="002A7A1B" w:rsidRPr="00210765" w:rsidRDefault="002A7A1B" w:rsidP="002A7A1B">
    <w:pPr>
      <w:pStyle w:val="Footer"/>
      <w:tabs>
        <w:tab w:val="clear" w:pos="9350"/>
        <w:tab w:val="right" w:pos="8504"/>
      </w:tabs>
      <w:rPr>
        <w:b/>
      </w:rPr>
    </w:pPr>
    <w:r w:rsidRPr="00210765">
      <w:rPr>
        <w:b/>
      </w:rPr>
      <w:t>Gondwana Heritage Solutions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39535" w14:textId="77777777" w:rsidR="00A24DC5" w:rsidRDefault="00A24DC5">
      <w:r>
        <w:separator/>
      </w:r>
    </w:p>
  </w:footnote>
  <w:footnote w:type="continuationSeparator" w:id="0">
    <w:p w14:paraId="1773BFCC" w14:textId="77777777" w:rsidR="00A24DC5" w:rsidRDefault="00A24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68648" w14:textId="77777777" w:rsidR="009612E9" w:rsidRDefault="009612E9" w:rsidP="003B500E">
    <w:pPr>
      <w:pStyle w:val="Header"/>
      <w:tabs>
        <w:tab w:val="clear" w:pos="9057"/>
        <w:tab w:val="right"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68649" w14:textId="77777777" w:rsidR="009612E9" w:rsidRDefault="009612E9" w:rsidP="003B500E">
    <w:pPr>
      <w:pStyle w:val="Header"/>
      <w:tabs>
        <w:tab w:val="clear" w:pos="9057"/>
        <w:tab w:val="right" w:pos="850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6864C" w14:textId="131E6379" w:rsidR="009612E9" w:rsidRDefault="002A7A1B" w:rsidP="002A7A1B">
    <w:pPr>
      <w:pStyle w:val="Header"/>
      <w:pBdr>
        <w:bottom w:val="none" w:sz="0" w:space="0" w:color="auto"/>
      </w:pBdr>
      <w:tabs>
        <w:tab w:val="clear" w:pos="9057"/>
        <w:tab w:val="right" w:pos="8504"/>
      </w:tabs>
      <w:jc w:val="right"/>
    </w:pPr>
    <w:r w:rsidRPr="00210765">
      <w:rPr>
        <w:color w:val="C00000"/>
        <w:sz w:val="36"/>
        <w:szCs w:val="36"/>
      </w:rPr>
      <w:t>Gondwana</w:t>
    </w:r>
    <w:r w:rsidRPr="00210765">
      <w:rPr>
        <w:sz w:val="36"/>
        <w:szCs w:val="36"/>
      </w:rPr>
      <w:t xml:space="preserve"> </w:t>
    </w:r>
    <w:r w:rsidRPr="00210765">
      <w:rPr>
        <w:color w:val="FFC000"/>
        <w:sz w:val="36"/>
        <w:szCs w:val="36"/>
      </w:rPr>
      <w:t>Heritage</w:t>
    </w:r>
    <w:r w:rsidRPr="00210765">
      <w:rPr>
        <w:sz w:val="36"/>
        <w:szCs w:val="36"/>
      </w:rPr>
      <w:t xml:space="preserve"> </w:t>
    </w:r>
    <w:r w:rsidRPr="00210765">
      <w:rPr>
        <w:color w:val="00B050"/>
        <w:sz w:val="36"/>
        <w:szCs w:val="36"/>
      </w:rPr>
      <w:t>Solutions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6A3AF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7346C12"/>
    <w:lvl w:ilvl="0">
      <w:start w:val="1"/>
      <w:numFmt w:val="decimal"/>
      <w:pStyle w:val="ListNumber4"/>
      <w:lvlText w:val="%1."/>
      <w:lvlJc w:val="left"/>
      <w:pPr>
        <w:tabs>
          <w:tab w:val="num" w:pos="1440"/>
        </w:tabs>
        <w:ind w:left="1440" w:hanging="360"/>
      </w:pPr>
    </w:lvl>
  </w:abstractNum>
  <w:abstractNum w:abstractNumId="2" w15:restartNumberingAfterBreak="0">
    <w:nsid w:val="FFFFFF80"/>
    <w:multiLevelType w:val="singleLevel"/>
    <w:tmpl w:val="24C6150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5DDAF34A"/>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2E96389"/>
    <w:multiLevelType w:val="multilevel"/>
    <w:tmpl w:val="80943578"/>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851"/>
        </w:tabs>
        <w:ind w:left="851" w:hanging="851"/>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upperLetter"/>
      <w:lvlRestart w:val="0"/>
      <w:lvlText w:val="%7."/>
      <w:lvlJc w:val="left"/>
      <w:pPr>
        <w:tabs>
          <w:tab w:val="num" w:pos="851"/>
        </w:tabs>
        <w:ind w:left="851" w:hanging="851"/>
      </w:pPr>
      <w:rPr>
        <w:rFonts w:hint="default"/>
      </w:rPr>
    </w:lvl>
    <w:lvl w:ilvl="7">
      <w:start w:val="1"/>
      <w:numFmt w:val="decimal"/>
      <w:lvlText w:val="%7.%8"/>
      <w:lvlJc w:val="left"/>
      <w:pPr>
        <w:tabs>
          <w:tab w:val="num" w:pos="851"/>
        </w:tabs>
        <w:ind w:left="851" w:hanging="851"/>
      </w:pPr>
      <w:rPr>
        <w:rFonts w:hint="default"/>
      </w:rPr>
    </w:lvl>
    <w:lvl w:ilvl="8">
      <w:start w:val="1"/>
      <w:numFmt w:val="decimal"/>
      <w:lvlText w:val="%7.%8.%9"/>
      <w:lvlJc w:val="left"/>
      <w:pPr>
        <w:tabs>
          <w:tab w:val="num" w:pos="851"/>
        </w:tabs>
        <w:ind w:left="851" w:hanging="851"/>
      </w:pPr>
      <w:rPr>
        <w:rFonts w:hint="default"/>
      </w:rPr>
    </w:lvl>
  </w:abstractNum>
  <w:abstractNum w:abstractNumId="5" w15:restartNumberingAfterBreak="0">
    <w:nsid w:val="044874D6"/>
    <w:multiLevelType w:val="multilevel"/>
    <w:tmpl w:val="17F21256"/>
    <w:lvl w:ilvl="0">
      <w:start w:val="1"/>
      <w:numFmt w:val="upperLetter"/>
      <w:pStyle w:val="AppendixHeading1"/>
      <w:lvlText w:val="%1"/>
      <w:lvlJc w:val="left"/>
      <w:pPr>
        <w:tabs>
          <w:tab w:val="num" w:pos="851"/>
        </w:tabs>
        <w:ind w:left="851" w:hanging="851"/>
      </w:pPr>
      <w:rPr>
        <w:rFonts w:hint="default"/>
      </w:rPr>
    </w:lvl>
    <w:lvl w:ilvl="1">
      <w:start w:val="1"/>
      <w:numFmt w:val="decimal"/>
      <w:pStyle w:val="AppendixHeading2"/>
      <w:lvlText w:val="%1.%2"/>
      <w:lvlJc w:val="left"/>
      <w:pPr>
        <w:tabs>
          <w:tab w:val="num" w:pos="851"/>
        </w:tabs>
        <w:ind w:left="851" w:hanging="851"/>
      </w:pPr>
      <w:rPr>
        <w:rFonts w:hint="default"/>
      </w:rPr>
    </w:lvl>
    <w:lvl w:ilvl="2">
      <w:start w:val="1"/>
      <w:numFmt w:val="decimal"/>
      <w:pStyle w:val="AppendixHeading3"/>
      <w:lvlText w:val="%1.%2.%3"/>
      <w:lvlJc w:val="left"/>
      <w:pPr>
        <w:tabs>
          <w:tab w:val="num" w:pos="851"/>
        </w:tabs>
        <w:ind w:left="851" w:hanging="851"/>
      </w:pPr>
      <w:rPr>
        <w:rFonts w:hint="default"/>
      </w:rPr>
    </w:lvl>
    <w:lvl w:ilvl="3">
      <w:start w:val="1"/>
      <w:numFmt w:val="decimal"/>
      <w:lvlText w:val="%1.%2.%3.%4"/>
      <w:lvlJc w:val="left"/>
      <w:pPr>
        <w:tabs>
          <w:tab w:val="num" w:pos="1728"/>
        </w:tabs>
        <w:ind w:left="1728" w:hanging="172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051649FF"/>
    <w:multiLevelType w:val="hybridMultilevel"/>
    <w:tmpl w:val="675A5FEE"/>
    <w:lvl w:ilvl="0" w:tplc="32ECDAFC">
      <w:start w:val="1"/>
      <w:numFmt w:val="decimal"/>
      <w:pStyle w:val="Numbered"/>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0C345994"/>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C694A4F"/>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1C20527"/>
    <w:multiLevelType w:val="hybridMultilevel"/>
    <w:tmpl w:val="BA0263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9225586"/>
    <w:multiLevelType w:val="hybridMultilevel"/>
    <w:tmpl w:val="0B806836"/>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A8A639D"/>
    <w:multiLevelType w:val="hybridMultilevel"/>
    <w:tmpl w:val="8A044E6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E495072"/>
    <w:multiLevelType w:val="hybridMultilevel"/>
    <w:tmpl w:val="C8D0924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EA93B5B"/>
    <w:multiLevelType w:val="hybridMultilevel"/>
    <w:tmpl w:val="7DFA6066"/>
    <w:lvl w:ilvl="0" w:tplc="D8501B4E">
      <w:start w:val="1"/>
      <w:numFmt w:val="bullet"/>
      <w:pStyle w:val="TableBullet"/>
      <w:lvlText w:val=""/>
      <w:lvlJc w:val="left"/>
      <w:pPr>
        <w:tabs>
          <w:tab w:val="num" w:pos="284"/>
        </w:tabs>
        <w:ind w:left="284" w:hanging="284"/>
      </w:pPr>
      <w:rPr>
        <w:rFonts w:ascii="Symbol" w:hAnsi="Symbol" w:hint="default"/>
      </w:rPr>
    </w:lvl>
    <w:lvl w:ilvl="1" w:tplc="0C090019" w:tentative="1">
      <w:start w:val="1"/>
      <w:numFmt w:val="bullet"/>
      <w:lvlText w:val="o"/>
      <w:lvlJc w:val="left"/>
      <w:pPr>
        <w:tabs>
          <w:tab w:val="num" w:pos="1440"/>
        </w:tabs>
        <w:ind w:left="1440" w:hanging="360"/>
      </w:pPr>
      <w:rPr>
        <w:rFonts w:ascii="Courier New" w:hAnsi="Courier New" w:cs="Courier New" w:hint="default"/>
      </w:rPr>
    </w:lvl>
    <w:lvl w:ilvl="2" w:tplc="0C09001B" w:tentative="1">
      <w:start w:val="1"/>
      <w:numFmt w:val="bullet"/>
      <w:lvlText w:val=""/>
      <w:lvlJc w:val="left"/>
      <w:pPr>
        <w:tabs>
          <w:tab w:val="num" w:pos="2160"/>
        </w:tabs>
        <w:ind w:left="2160" w:hanging="360"/>
      </w:pPr>
      <w:rPr>
        <w:rFonts w:ascii="Wingdings" w:hAnsi="Wingdings" w:hint="default"/>
      </w:rPr>
    </w:lvl>
    <w:lvl w:ilvl="3" w:tplc="0C09000F" w:tentative="1">
      <w:start w:val="1"/>
      <w:numFmt w:val="bullet"/>
      <w:lvlText w:val=""/>
      <w:lvlJc w:val="left"/>
      <w:pPr>
        <w:tabs>
          <w:tab w:val="num" w:pos="2880"/>
        </w:tabs>
        <w:ind w:left="2880" w:hanging="360"/>
      </w:pPr>
      <w:rPr>
        <w:rFonts w:ascii="Symbol" w:hAnsi="Symbol" w:hint="default"/>
      </w:rPr>
    </w:lvl>
    <w:lvl w:ilvl="4" w:tplc="0C090019" w:tentative="1">
      <w:start w:val="1"/>
      <w:numFmt w:val="bullet"/>
      <w:lvlText w:val="o"/>
      <w:lvlJc w:val="left"/>
      <w:pPr>
        <w:tabs>
          <w:tab w:val="num" w:pos="3600"/>
        </w:tabs>
        <w:ind w:left="3600" w:hanging="360"/>
      </w:pPr>
      <w:rPr>
        <w:rFonts w:ascii="Courier New" w:hAnsi="Courier New" w:cs="Courier New" w:hint="default"/>
      </w:rPr>
    </w:lvl>
    <w:lvl w:ilvl="5" w:tplc="0C09001B" w:tentative="1">
      <w:start w:val="1"/>
      <w:numFmt w:val="bullet"/>
      <w:lvlText w:val=""/>
      <w:lvlJc w:val="left"/>
      <w:pPr>
        <w:tabs>
          <w:tab w:val="num" w:pos="4320"/>
        </w:tabs>
        <w:ind w:left="4320" w:hanging="360"/>
      </w:pPr>
      <w:rPr>
        <w:rFonts w:ascii="Wingdings" w:hAnsi="Wingdings" w:hint="default"/>
      </w:rPr>
    </w:lvl>
    <w:lvl w:ilvl="6" w:tplc="0C09000F" w:tentative="1">
      <w:start w:val="1"/>
      <w:numFmt w:val="bullet"/>
      <w:lvlText w:val=""/>
      <w:lvlJc w:val="left"/>
      <w:pPr>
        <w:tabs>
          <w:tab w:val="num" w:pos="5040"/>
        </w:tabs>
        <w:ind w:left="5040" w:hanging="360"/>
      </w:pPr>
      <w:rPr>
        <w:rFonts w:ascii="Symbol" w:hAnsi="Symbol" w:hint="default"/>
      </w:rPr>
    </w:lvl>
    <w:lvl w:ilvl="7" w:tplc="0C090019" w:tentative="1">
      <w:start w:val="1"/>
      <w:numFmt w:val="bullet"/>
      <w:lvlText w:val="o"/>
      <w:lvlJc w:val="left"/>
      <w:pPr>
        <w:tabs>
          <w:tab w:val="num" w:pos="5760"/>
        </w:tabs>
        <w:ind w:left="5760" w:hanging="360"/>
      </w:pPr>
      <w:rPr>
        <w:rFonts w:ascii="Courier New" w:hAnsi="Courier New" w:cs="Courier New" w:hint="default"/>
      </w:rPr>
    </w:lvl>
    <w:lvl w:ilvl="8" w:tplc="0C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FB6C19"/>
    <w:multiLevelType w:val="hybridMultilevel"/>
    <w:tmpl w:val="A0C88CF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36DD6D7D"/>
    <w:multiLevelType w:val="hybridMultilevel"/>
    <w:tmpl w:val="3FE838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7921F32"/>
    <w:multiLevelType w:val="hybridMultilevel"/>
    <w:tmpl w:val="74E01270"/>
    <w:lvl w:ilvl="0" w:tplc="987EB720">
      <w:start w:val="1"/>
      <w:numFmt w:val="bullet"/>
      <w:pStyle w:val="Tablebulletlevel2"/>
      <w:lvlText w:val="o"/>
      <w:lvlJc w:val="left"/>
      <w:pPr>
        <w:ind w:left="502" w:hanging="360"/>
      </w:pPr>
      <w:rPr>
        <w:rFonts w:ascii="Courier New" w:hAnsi="Courier New" w:cs="Courier New" w:hint="default"/>
        <w:sz w:val="16"/>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17" w15:restartNumberingAfterBreak="0">
    <w:nsid w:val="3B6B472D"/>
    <w:multiLevelType w:val="hybridMultilevel"/>
    <w:tmpl w:val="7FC060AA"/>
    <w:lvl w:ilvl="0" w:tplc="AB0C6D66">
      <w:start w:val="1"/>
      <w:numFmt w:val="lowerLetter"/>
      <w:pStyle w:val="Lettered"/>
      <w:lvlText w:val="(%1)"/>
      <w:lvlJc w:val="left"/>
      <w:pPr>
        <w:tabs>
          <w:tab w:val="num" w:pos="1134"/>
        </w:tabs>
        <w:ind w:left="1134" w:hanging="567"/>
      </w:pPr>
      <w:rPr>
        <w:rFonts w:hint="default"/>
      </w:rPr>
    </w:lvl>
    <w:lvl w:ilvl="1" w:tplc="0C090019">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EC00267"/>
    <w:multiLevelType w:val="hybridMultilevel"/>
    <w:tmpl w:val="04C2CB3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A3A67D4"/>
    <w:multiLevelType w:val="multilevel"/>
    <w:tmpl w:val="5BF6571C"/>
    <w:lvl w:ilvl="0">
      <w:start w:val="1"/>
      <w:numFmt w:val="decimal"/>
      <w:lvlRestart w:val="0"/>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lowerRoman"/>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decimal"/>
      <w:lvlText w:val="%1.%2.%3.%4.%5.%6."/>
      <w:lvlJc w:val="left"/>
      <w:pPr>
        <w:tabs>
          <w:tab w:val="num" w:pos="3600"/>
        </w:tabs>
        <w:ind w:left="2738" w:hanging="941"/>
      </w:pPr>
      <w:rPr>
        <w:rFonts w:hint="default"/>
      </w:rPr>
    </w:lvl>
    <w:lvl w:ilvl="6">
      <w:start w:val="1"/>
      <w:numFmt w:val="decimal"/>
      <w:lvlText w:val="%1.%2.%3.%4.%5.%6.%7."/>
      <w:lvlJc w:val="left"/>
      <w:pPr>
        <w:tabs>
          <w:tab w:val="num" w:pos="4320"/>
        </w:tabs>
        <w:ind w:left="3237" w:hanging="1077"/>
      </w:pPr>
      <w:rPr>
        <w:rFonts w:hint="default"/>
      </w:rPr>
    </w:lvl>
    <w:lvl w:ilvl="7">
      <w:start w:val="1"/>
      <w:numFmt w:val="decimal"/>
      <w:lvlText w:val="%1.%2.%3.%4.%5.%6.%7.%8."/>
      <w:lvlJc w:val="left"/>
      <w:pPr>
        <w:tabs>
          <w:tab w:val="num" w:pos="5040"/>
        </w:tabs>
        <w:ind w:left="3742" w:hanging="1225"/>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4FB350DD"/>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A357E27"/>
    <w:multiLevelType w:val="hybridMultilevel"/>
    <w:tmpl w:val="C0DEB3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D960683"/>
    <w:multiLevelType w:val="multilevel"/>
    <w:tmpl w:val="1BB2F1D2"/>
    <w:lvl w:ilvl="0">
      <w:start w:val="1"/>
      <w:numFmt w:val="bullet"/>
      <w:lvlText w:val=""/>
      <w:lvlJc w:val="left"/>
      <w:pPr>
        <w:tabs>
          <w:tab w:val="num" w:pos="567"/>
        </w:tabs>
        <w:ind w:left="567" w:hanging="567"/>
      </w:pPr>
      <w:rPr>
        <w:rFonts w:ascii="Symbol" w:hAnsi="Symbol" w:hint="default"/>
        <w:color w:val="31403C"/>
      </w:rPr>
    </w:lvl>
    <w:lvl w:ilvl="1">
      <w:start w:val="1"/>
      <w:numFmt w:val="bullet"/>
      <w:lvlRestart w:val="0"/>
      <w:pStyle w:val="ListBullet2"/>
      <w:lvlText w:val="o"/>
      <w:lvlJc w:val="left"/>
      <w:pPr>
        <w:tabs>
          <w:tab w:val="num" w:pos="1134"/>
        </w:tabs>
        <w:ind w:left="1134" w:hanging="567"/>
      </w:pPr>
      <w:rPr>
        <w:rFonts w:ascii="Courier New" w:hAnsi="Courier New" w:hint="default"/>
        <w:color w:val="4C5A52"/>
        <w:sz w:val="18"/>
      </w:rPr>
    </w:lvl>
    <w:lvl w:ilvl="2">
      <w:start w:val="1"/>
      <w:numFmt w:val="bullet"/>
      <w:lvlRestart w:val="0"/>
      <w:pStyle w:val="ListBullet3"/>
      <w:lvlText w:val=""/>
      <w:lvlJc w:val="left"/>
      <w:pPr>
        <w:tabs>
          <w:tab w:val="num" w:pos="1701"/>
        </w:tabs>
        <w:ind w:left="1701" w:hanging="567"/>
      </w:pPr>
      <w:rPr>
        <w:rFonts w:ascii="Symbol" w:hAnsi="Symbol" w:hint="default"/>
        <w:color w:val="auto"/>
      </w:rPr>
    </w:lvl>
    <w:lvl w:ilvl="3">
      <w:start w:val="1"/>
      <w:numFmt w:val="none"/>
      <w:lvlRestart w:val="0"/>
      <w:suff w:val="nothing"/>
      <w:lvlText w:val=""/>
      <w:lvlJc w:val="left"/>
      <w:pPr>
        <w:ind w:left="1701" w:hanging="1701"/>
      </w:pPr>
      <w:rPr>
        <w:rFonts w:hint="default"/>
        <w:color w:val="auto"/>
      </w:rPr>
    </w:lvl>
    <w:lvl w:ilvl="4">
      <w:start w:val="1"/>
      <w:numFmt w:val="none"/>
      <w:suff w:val="nothing"/>
      <w:lvlText w:val=""/>
      <w:lvlJc w:val="left"/>
      <w:pPr>
        <w:ind w:left="2232" w:hanging="2232"/>
      </w:pPr>
      <w:rPr>
        <w:rFonts w:hint="default"/>
      </w:rPr>
    </w:lvl>
    <w:lvl w:ilvl="5">
      <w:start w:val="1"/>
      <w:numFmt w:val="none"/>
      <w:suff w:val="nothing"/>
      <w:lvlText w:val=""/>
      <w:lvlJc w:val="left"/>
      <w:pPr>
        <w:ind w:left="2736" w:hanging="2736"/>
      </w:pPr>
      <w:rPr>
        <w:rFonts w:hint="default"/>
      </w:rPr>
    </w:lvl>
    <w:lvl w:ilvl="6">
      <w:start w:val="1"/>
      <w:numFmt w:val="none"/>
      <w:lvlRestart w:val="0"/>
      <w:suff w:val="nothing"/>
      <w:lvlText w:val=""/>
      <w:lvlJc w:val="left"/>
      <w:pPr>
        <w:ind w:left="0" w:firstLine="0"/>
      </w:pPr>
      <w:rPr>
        <w:rFonts w:hint="default"/>
      </w:rPr>
    </w:lvl>
    <w:lvl w:ilvl="7">
      <w:start w:val="1"/>
      <w:numFmt w:val="none"/>
      <w:suff w:val="nothing"/>
      <w:lvlText w:val=""/>
      <w:lvlJc w:val="left"/>
      <w:pPr>
        <w:ind w:left="851" w:hanging="851"/>
      </w:pPr>
      <w:rPr>
        <w:rFonts w:hint="default"/>
      </w:rPr>
    </w:lvl>
    <w:lvl w:ilvl="8">
      <w:start w:val="1"/>
      <w:numFmt w:val="none"/>
      <w:suff w:val="nothing"/>
      <w:lvlText w:val=""/>
      <w:lvlJc w:val="left"/>
      <w:pPr>
        <w:ind w:left="851" w:hanging="851"/>
      </w:pPr>
      <w:rPr>
        <w:rFonts w:hint="default"/>
      </w:rPr>
    </w:lvl>
  </w:abstractNum>
  <w:abstractNum w:abstractNumId="23" w15:restartNumberingAfterBreak="0">
    <w:nsid w:val="5E2A3645"/>
    <w:multiLevelType w:val="hybridMultilevel"/>
    <w:tmpl w:val="3A8422A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EE66A3F"/>
    <w:multiLevelType w:val="hybridMultilevel"/>
    <w:tmpl w:val="89502E0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7223675A"/>
    <w:multiLevelType w:val="hybridMultilevel"/>
    <w:tmpl w:val="A57AEBDE"/>
    <w:lvl w:ilvl="0" w:tplc="53E4EC46">
      <w:start w:val="1"/>
      <w:numFmt w:val="bullet"/>
      <w:pStyle w:val="ListBullet"/>
      <w:lvlText w:val=""/>
      <w:lvlJc w:val="left"/>
      <w:pPr>
        <w:tabs>
          <w:tab w:val="num" w:pos="567"/>
        </w:tabs>
        <w:ind w:left="567" w:hanging="567"/>
      </w:pPr>
      <w:rPr>
        <w:rFonts w:ascii="Symbol" w:hAnsi="Symbol" w:hint="default"/>
        <w:color w:val="4C5A52"/>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D551BE"/>
    <w:multiLevelType w:val="hybridMultilevel"/>
    <w:tmpl w:val="522609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7A013E52"/>
    <w:multiLevelType w:val="hybridMultilevel"/>
    <w:tmpl w:val="028883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8"/>
  </w:num>
  <w:num w:numId="4">
    <w:abstractNumId w:val="4"/>
  </w:num>
  <w:num w:numId="5">
    <w:abstractNumId w:val="5"/>
  </w:num>
  <w:num w:numId="6">
    <w:abstractNumId w:val="17"/>
  </w:num>
  <w:num w:numId="7">
    <w:abstractNumId w:val="25"/>
  </w:num>
  <w:num w:numId="8">
    <w:abstractNumId w:val="22"/>
  </w:num>
  <w:num w:numId="9">
    <w:abstractNumId w:val="3"/>
  </w:num>
  <w:num w:numId="10">
    <w:abstractNumId w:val="2"/>
  </w:num>
  <w:num w:numId="11">
    <w:abstractNumId w:val="19"/>
  </w:num>
  <w:num w:numId="12">
    <w:abstractNumId w:val="1"/>
  </w:num>
  <w:num w:numId="13">
    <w:abstractNumId w:val="0"/>
  </w:num>
  <w:num w:numId="14">
    <w:abstractNumId w:val="6"/>
  </w:num>
  <w:num w:numId="15">
    <w:abstractNumId w:val="13"/>
  </w:num>
  <w:num w:numId="16">
    <w:abstractNumId w:val="16"/>
  </w:num>
  <w:num w:numId="17">
    <w:abstractNumId w:val="9"/>
  </w:num>
  <w:num w:numId="18">
    <w:abstractNumId w:val="23"/>
  </w:num>
  <w:num w:numId="19">
    <w:abstractNumId w:val="27"/>
  </w:num>
  <w:num w:numId="20">
    <w:abstractNumId w:val="24"/>
  </w:num>
  <w:num w:numId="21">
    <w:abstractNumId w:val="15"/>
  </w:num>
  <w:num w:numId="22">
    <w:abstractNumId w:val="10"/>
  </w:num>
  <w:num w:numId="23">
    <w:abstractNumId w:val="21"/>
  </w:num>
  <w:num w:numId="24">
    <w:abstractNumId w:val="18"/>
  </w:num>
  <w:num w:numId="25">
    <w:abstractNumId w:val="14"/>
  </w:num>
  <w:num w:numId="26">
    <w:abstractNumId w:val="11"/>
  </w:num>
  <w:num w:numId="27">
    <w:abstractNumId w:val="12"/>
  </w:num>
  <w:num w:numId="28">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C72"/>
    <w:rsid w:val="0000166D"/>
    <w:rsid w:val="00011F13"/>
    <w:rsid w:val="00013890"/>
    <w:rsid w:val="00023F55"/>
    <w:rsid w:val="00030D0C"/>
    <w:rsid w:val="00040B27"/>
    <w:rsid w:val="00042A65"/>
    <w:rsid w:val="00043268"/>
    <w:rsid w:val="00051A8D"/>
    <w:rsid w:val="00067C22"/>
    <w:rsid w:val="00075980"/>
    <w:rsid w:val="0008278E"/>
    <w:rsid w:val="00085495"/>
    <w:rsid w:val="00087C12"/>
    <w:rsid w:val="00091ABA"/>
    <w:rsid w:val="000960F5"/>
    <w:rsid w:val="000A36BE"/>
    <w:rsid w:val="000A434E"/>
    <w:rsid w:val="000C2D0C"/>
    <w:rsid w:val="000E2B7E"/>
    <w:rsid w:val="000E33E7"/>
    <w:rsid w:val="000F4C1A"/>
    <w:rsid w:val="00106713"/>
    <w:rsid w:val="00106AF4"/>
    <w:rsid w:val="00114AC1"/>
    <w:rsid w:val="00115ABF"/>
    <w:rsid w:val="00132869"/>
    <w:rsid w:val="00140B7F"/>
    <w:rsid w:val="0014569A"/>
    <w:rsid w:val="00152E9D"/>
    <w:rsid w:val="001564D1"/>
    <w:rsid w:val="00157E17"/>
    <w:rsid w:val="001736B5"/>
    <w:rsid w:val="00181AE9"/>
    <w:rsid w:val="00191BD8"/>
    <w:rsid w:val="00196B66"/>
    <w:rsid w:val="001C6141"/>
    <w:rsid w:val="001D1B06"/>
    <w:rsid w:val="001E0A6F"/>
    <w:rsid w:val="001E7187"/>
    <w:rsid w:val="001F188D"/>
    <w:rsid w:val="0022043D"/>
    <w:rsid w:val="00227D61"/>
    <w:rsid w:val="002305E7"/>
    <w:rsid w:val="0023253D"/>
    <w:rsid w:val="00234CE1"/>
    <w:rsid w:val="00236FCB"/>
    <w:rsid w:val="00246AA6"/>
    <w:rsid w:val="002548AE"/>
    <w:rsid w:val="002568B7"/>
    <w:rsid w:val="0025713E"/>
    <w:rsid w:val="002572E8"/>
    <w:rsid w:val="002603F6"/>
    <w:rsid w:val="0026353B"/>
    <w:rsid w:val="002A0AED"/>
    <w:rsid w:val="002A41C8"/>
    <w:rsid w:val="002A666B"/>
    <w:rsid w:val="002A6A66"/>
    <w:rsid w:val="002A7A1B"/>
    <w:rsid w:val="002B1177"/>
    <w:rsid w:val="002B3947"/>
    <w:rsid w:val="002B6F2A"/>
    <w:rsid w:val="002C1439"/>
    <w:rsid w:val="002C60FF"/>
    <w:rsid w:val="002D59D3"/>
    <w:rsid w:val="002E0FF0"/>
    <w:rsid w:val="002E633F"/>
    <w:rsid w:val="002E7DC5"/>
    <w:rsid w:val="002F1BF5"/>
    <w:rsid w:val="0030075C"/>
    <w:rsid w:val="003017A8"/>
    <w:rsid w:val="00305525"/>
    <w:rsid w:val="00310CB3"/>
    <w:rsid w:val="00311BC5"/>
    <w:rsid w:val="0031325D"/>
    <w:rsid w:val="00314815"/>
    <w:rsid w:val="00314FA7"/>
    <w:rsid w:val="00325753"/>
    <w:rsid w:val="003274F9"/>
    <w:rsid w:val="003547C8"/>
    <w:rsid w:val="00376291"/>
    <w:rsid w:val="00377878"/>
    <w:rsid w:val="0038194C"/>
    <w:rsid w:val="00383B27"/>
    <w:rsid w:val="00390022"/>
    <w:rsid w:val="00390E13"/>
    <w:rsid w:val="00397DD1"/>
    <w:rsid w:val="003A1120"/>
    <w:rsid w:val="003A3071"/>
    <w:rsid w:val="003B500E"/>
    <w:rsid w:val="003B6AFC"/>
    <w:rsid w:val="003C1646"/>
    <w:rsid w:val="003C4C16"/>
    <w:rsid w:val="003C7222"/>
    <w:rsid w:val="003C7690"/>
    <w:rsid w:val="003D5DAF"/>
    <w:rsid w:val="003E22CF"/>
    <w:rsid w:val="003F1758"/>
    <w:rsid w:val="004054D6"/>
    <w:rsid w:val="0041113B"/>
    <w:rsid w:val="00412E8C"/>
    <w:rsid w:val="0042476D"/>
    <w:rsid w:val="00440764"/>
    <w:rsid w:val="0045114A"/>
    <w:rsid w:val="00455EE6"/>
    <w:rsid w:val="004573F7"/>
    <w:rsid w:val="00467AC0"/>
    <w:rsid w:val="0047560F"/>
    <w:rsid w:val="00477B06"/>
    <w:rsid w:val="0049504C"/>
    <w:rsid w:val="004A11A1"/>
    <w:rsid w:val="004A31CA"/>
    <w:rsid w:val="004B4C05"/>
    <w:rsid w:val="004C480E"/>
    <w:rsid w:val="004C6049"/>
    <w:rsid w:val="004D0C6E"/>
    <w:rsid w:val="004E4F12"/>
    <w:rsid w:val="004F6AFB"/>
    <w:rsid w:val="005012AF"/>
    <w:rsid w:val="00517CE0"/>
    <w:rsid w:val="00523CFC"/>
    <w:rsid w:val="00545427"/>
    <w:rsid w:val="00546947"/>
    <w:rsid w:val="00570F34"/>
    <w:rsid w:val="00590B8A"/>
    <w:rsid w:val="005961F1"/>
    <w:rsid w:val="005B3BC8"/>
    <w:rsid w:val="005C23D3"/>
    <w:rsid w:val="005D5545"/>
    <w:rsid w:val="005E3C6B"/>
    <w:rsid w:val="005E495C"/>
    <w:rsid w:val="005E4DA4"/>
    <w:rsid w:val="005F7184"/>
    <w:rsid w:val="006005BD"/>
    <w:rsid w:val="00621FE8"/>
    <w:rsid w:val="00631703"/>
    <w:rsid w:val="00636516"/>
    <w:rsid w:val="006474BE"/>
    <w:rsid w:val="00652D5C"/>
    <w:rsid w:val="00655B2B"/>
    <w:rsid w:val="00661520"/>
    <w:rsid w:val="006701A3"/>
    <w:rsid w:val="00671A88"/>
    <w:rsid w:val="00682991"/>
    <w:rsid w:val="00683E83"/>
    <w:rsid w:val="006932C5"/>
    <w:rsid w:val="006A094D"/>
    <w:rsid w:val="006B6375"/>
    <w:rsid w:val="006C3E78"/>
    <w:rsid w:val="006C7106"/>
    <w:rsid w:val="006D3554"/>
    <w:rsid w:val="006E097E"/>
    <w:rsid w:val="006E2F2F"/>
    <w:rsid w:val="006E5314"/>
    <w:rsid w:val="006E7495"/>
    <w:rsid w:val="006F1B44"/>
    <w:rsid w:val="00702DD5"/>
    <w:rsid w:val="00706BF6"/>
    <w:rsid w:val="00711C08"/>
    <w:rsid w:val="007212A8"/>
    <w:rsid w:val="00724E55"/>
    <w:rsid w:val="00745646"/>
    <w:rsid w:val="0076160E"/>
    <w:rsid w:val="007625DB"/>
    <w:rsid w:val="00777562"/>
    <w:rsid w:val="00790756"/>
    <w:rsid w:val="007A468F"/>
    <w:rsid w:val="007A688D"/>
    <w:rsid w:val="007A6B5A"/>
    <w:rsid w:val="007B275F"/>
    <w:rsid w:val="007B5A3C"/>
    <w:rsid w:val="007C591D"/>
    <w:rsid w:val="007D0048"/>
    <w:rsid w:val="00807026"/>
    <w:rsid w:val="00820228"/>
    <w:rsid w:val="00823D10"/>
    <w:rsid w:val="00823DF2"/>
    <w:rsid w:val="00831122"/>
    <w:rsid w:val="00846A10"/>
    <w:rsid w:val="00850869"/>
    <w:rsid w:val="00873966"/>
    <w:rsid w:val="00880ED7"/>
    <w:rsid w:val="008828E1"/>
    <w:rsid w:val="0088650E"/>
    <w:rsid w:val="00890712"/>
    <w:rsid w:val="00895ABE"/>
    <w:rsid w:val="008A7674"/>
    <w:rsid w:val="008B3947"/>
    <w:rsid w:val="008B573A"/>
    <w:rsid w:val="008C5793"/>
    <w:rsid w:val="008D3E32"/>
    <w:rsid w:val="008E0EB5"/>
    <w:rsid w:val="00900462"/>
    <w:rsid w:val="009025EB"/>
    <w:rsid w:val="00903F93"/>
    <w:rsid w:val="00904514"/>
    <w:rsid w:val="00913F51"/>
    <w:rsid w:val="009209DD"/>
    <w:rsid w:val="009238A4"/>
    <w:rsid w:val="009246A4"/>
    <w:rsid w:val="00932069"/>
    <w:rsid w:val="00933E53"/>
    <w:rsid w:val="00933F73"/>
    <w:rsid w:val="009363D5"/>
    <w:rsid w:val="00946BBD"/>
    <w:rsid w:val="009612E9"/>
    <w:rsid w:val="00974CF8"/>
    <w:rsid w:val="00980C61"/>
    <w:rsid w:val="0098656F"/>
    <w:rsid w:val="00987F76"/>
    <w:rsid w:val="00993CE2"/>
    <w:rsid w:val="009B0CC1"/>
    <w:rsid w:val="009D0555"/>
    <w:rsid w:val="009E1662"/>
    <w:rsid w:val="009E2058"/>
    <w:rsid w:val="009E2341"/>
    <w:rsid w:val="009E4B63"/>
    <w:rsid w:val="009E6AE5"/>
    <w:rsid w:val="009F76CA"/>
    <w:rsid w:val="00A10FCF"/>
    <w:rsid w:val="00A11E7F"/>
    <w:rsid w:val="00A131E1"/>
    <w:rsid w:val="00A24DC5"/>
    <w:rsid w:val="00A2611D"/>
    <w:rsid w:val="00A400FA"/>
    <w:rsid w:val="00A45F5B"/>
    <w:rsid w:val="00A471FF"/>
    <w:rsid w:val="00A50696"/>
    <w:rsid w:val="00A514AF"/>
    <w:rsid w:val="00A533EF"/>
    <w:rsid w:val="00A57E66"/>
    <w:rsid w:val="00A602E5"/>
    <w:rsid w:val="00A67318"/>
    <w:rsid w:val="00A720B7"/>
    <w:rsid w:val="00A76E5C"/>
    <w:rsid w:val="00A86970"/>
    <w:rsid w:val="00AA15C8"/>
    <w:rsid w:val="00AA64C8"/>
    <w:rsid w:val="00AB0397"/>
    <w:rsid w:val="00AB3A7C"/>
    <w:rsid w:val="00AB4B2C"/>
    <w:rsid w:val="00AB4F78"/>
    <w:rsid w:val="00AC3939"/>
    <w:rsid w:val="00AF7BC7"/>
    <w:rsid w:val="00B06E71"/>
    <w:rsid w:val="00B127B5"/>
    <w:rsid w:val="00B150F8"/>
    <w:rsid w:val="00B23BAD"/>
    <w:rsid w:val="00B250D1"/>
    <w:rsid w:val="00B3033A"/>
    <w:rsid w:val="00B30477"/>
    <w:rsid w:val="00B3145F"/>
    <w:rsid w:val="00B4107A"/>
    <w:rsid w:val="00B42B3B"/>
    <w:rsid w:val="00B4358B"/>
    <w:rsid w:val="00B548B0"/>
    <w:rsid w:val="00B73681"/>
    <w:rsid w:val="00B811CC"/>
    <w:rsid w:val="00B81EF3"/>
    <w:rsid w:val="00B8460C"/>
    <w:rsid w:val="00B96D26"/>
    <w:rsid w:val="00BA0F3F"/>
    <w:rsid w:val="00BB2913"/>
    <w:rsid w:val="00BB7E3E"/>
    <w:rsid w:val="00BC4A25"/>
    <w:rsid w:val="00BD5019"/>
    <w:rsid w:val="00BD6675"/>
    <w:rsid w:val="00C11C56"/>
    <w:rsid w:val="00C21E31"/>
    <w:rsid w:val="00C23853"/>
    <w:rsid w:val="00C24C26"/>
    <w:rsid w:val="00C27E37"/>
    <w:rsid w:val="00C329D7"/>
    <w:rsid w:val="00C34384"/>
    <w:rsid w:val="00C34F74"/>
    <w:rsid w:val="00C4145F"/>
    <w:rsid w:val="00C52405"/>
    <w:rsid w:val="00C539F6"/>
    <w:rsid w:val="00C7365E"/>
    <w:rsid w:val="00C93179"/>
    <w:rsid w:val="00CB2669"/>
    <w:rsid w:val="00CD335D"/>
    <w:rsid w:val="00CE5427"/>
    <w:rsid w:val="00CF60B0"/>
    <w:rsid w:val="00D05924"/>
    <w:rsid w:val="00D075C0"/>
    <w:rsid w:val="00D13670"/>
    <w:rsid w:val="00D14A0D"/>
    <w:rsid w:val="00D15460"/>
    <w:rsid w:val="00D1558E"/>
    <w:rsid w:val="00D3087D"/>
    <w:rsid w:val="00D33F7D"/>
    <w:rsid w:val="00D55415"/>
    <w:rsid w:val="00D56A5A"/>
    <w:rsid w:val="00D616E8"/>
    <w:rsid w:val="00D83DF0"/>
    <w:rsid w:val="00DB05CE"/>
    <w:rsid w:val="00DB6881"/>
    <w:rsid w:val="00DC52B4"/>
    <w:rsid w:val="00DD4335"/>
    <w:rsid w:val="00E03DFC"/>
    <w:rsid w:val="00E06A73"/>
    <w:rsid w:val="00E17323"/>
    <w:rsid w:val="00E320BC"/>
    <w:rsid w:val="00E33E4B"/>
    <w:rsid w:val="00E46F3B"/>
    <w:rsid w:val="00E918DD"/>
    <w:rsid w:val="00EB2257"/>
    <w:rsid w:val="00EB2D7C"/>
    <w:rsid w:val="00EB6C72"/>
    <w:rsid w:val="00F011AC"/>
    <w:rsid w:val="00F17BB0"/>
    <w:rsid w:val="00F26F31"/>
    <w:rsid w:val="00F3222C"/>
    <w:rsid w:val="00F421CE"/>
    <w:rsid w:val="00F66902"/>
    <w:rsid w:val="00F670C8"/>
    <w:rsid w:val="00F745F6"/>
    <w:rsid w:val="00F854ED"/>
    <w:rsid w:val="00F963BC"/>
    <w:rsid w:val="00FB0B64"/>
    <w:rsid w:val="00FB0CA1"/>
    <w:rsid w:val="00FB233B"/>
    <w:rsid w:val="00FB3BAB"/>
    <w:rsid w:val="00FC1FC3"/>
    <w:rsid w:val="00FD3942"/>
    <w:rsid w:val="00FD3CAA"/>
    <w:rsid w:val="00FD5F2D"/>
    <w:rsid w:val="00FD7B57"/>
    <w:rsid w:val="00FE44F1"/>
    <w:rsid w:val="00FE6189"/>
    <w:rsid w:val="00FE7F58"/>
    <w:rsid w:val="00FF36F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968507"/>
  <w15:docId w15:val="{731D0405-7801-42E4-899C-8827204F2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A5A"/>
    <w:rPr>
      <w:sz w:val="22"/>
      <w:szCs w:val="24"/>
    </w:rPr>
  </w:style>
  <w:style w:type="paragraph" w:styleId="Heading1">
    <w:name w:val="heading 1"/>
    <w:next w:val="BodyText"/>
    <w:qFormat/>
    <w:rsid w:val="00A131E1"/>
    <w:pPr>
      <w:keepNext/>
      <w:numPr>
        <w:numId w:val="4"/>
      </w:numPr>
      <w:spacing w:before="480" w:after="360"/>
      <w:outlineLvl w:val="0"/>
    </w:pPr>
    <w:rPr>
      <w:rFonts w:ascii="Calibri" w:hAnsi="Calibri" w:cs="Arial"/>
      <w:b/>
      <w:bCs/>
      <w:color w:val="4C5A52"/>
      <w:kern w:val="32"/>
      <w:sz w:val="36"/>
      <w:szCs w:val="36"/>
    </w:rPr>
  </w:style>
  <w:style w:type="paragraph" w:styleId="Heading2">
    <w:name w:val="heading 2"/>
    <w:next w:val="BodyText"/>
    <w:qFormat/>
    <w:rsid w:val="00A131E1"/>
    <w:pPr>
      <w:keepNext/>
      <w:numPr>
        <w:ilvl w:val="1"/>
        <w:numId w:val="4"/>
      </w:numPr>
      <w:spacing w:before="360" w:after="240"/>
      <w:outlineLvl w:val="1"/>
    </w:pPr>
    <w:rPr>
      <w:rFonts w:ascii="Calibri" w:hAnsi="Calibri" w:cs="Arial"/>
      <w:b/>
      <w:bCs/>
      <w:iCs/>
      <w:color w:val="4C5A52"/>
      <w:sz w:val="24"/>
      <w:szCs w:val="24"/>
    </w:rPr>
  </w:style>
  <w:style w:type="paragraph" w:styleId="Heading3">
    <w:name w:val="heading 3"/>
    <w:next w:val="BodyText"/>
    <w:qFormat/>
    <w:rsid w:val="00A131E1"/>
    <w:pPr>
      <w:keepNext/>
      <w:numPr>
        <w:ilvl w:val="2"/>
        <w:numId w:val="4"/>
      </w:numPr>
      <w:spacing w:before="360" w:after="240"/>
      <w:outlineLvl w:val="2"/>
    </w:pPr>
    <w:rPr>
      <w:rFonts w:ascii="Calibri" w:hAnsi="Calibri" w:cs="Arial"/>
      <w:b/>
      <w:bCs/>
      <w:color w:val="4C5A52"/>
      <w:sz w:val="22"/>
    </w:rPr>
  </w:style>
  <w:style w:type="paragraph" w:styleId="Heading4">
    <w:name w:val="heading 4"/>
    <w:next w:val="BodyText"/>
    <w:qFormat/>
    <w:rsid w:val="00A131E1"/>
    <w:pPr>
      <w:keepNext/>
      <w:numPr>
        <w:ilvl w:val="3"/>
        <w:numId w:val="4"/>
      </w:numPr>
      <w:spacing w:before="360" w:after="240"/>
      <w:outlineLvl w:val="3"/>
    </w:pPr>
    <w:rPr>
      <w:rFonts w:ascii="Calibri" w:hAnsi="Calibri" w:cs="Arial"/>
      <w:b/>
      <w:bCs/>
      <w:i/>
      <w:color w:val="4C5A52"/>
      <w:sz w:val="22"/>
      <w:szCs w:val="24"/>
    </w:rPr>
  </w:style>
  <w:style w:type="paragraph" w:styleId="Heading5">
    <w:name w:val="heading 5"/>
    <w:next w:val="BodyText"/>
    <w:qFormat/>
    <w:rsid w:val="00A131E1"/>
    <w:pPr>
      <w:keepNext/>
      <w:spacing w:before="360" w:after="240"/>
      <w:ind w:left="851" w:hanging="851"/>
      <w:outlineLvl w:val="4"/>
    </w:pPr>
    <w:rPr>
      <w:rFonts w:ascii="Calibri" w:hAnsi="Calibri"/>
      <w:b/>
      <w:bCs/>
      <w:iCs/>
      <w:szCs w:val="22"/>
    </w:rPr>
  </w:style>
  <w:style w:type="paragraph" w:styleId="Heading6">
    <w:name w:val="heading 6"/>
    <w:next w:val="BodyText"/>
    <w:link w:val="Heading6Char"/>
    <w:qFormat/>
    <w:rsid w:val="00A131E1"/>
    <w:pPr>
      <w:keepNext/>
      <w:spacing w:before="360" w:line="360" w:lineRule="auto"/>
      <w:outlineLvl w:val="5"/>
    </w:pPr>
    <w:rPr>
      <w:rFonts w:ascii="Arial" w:hAnsi="Arial"/>
      <w:bCs/>
      <w:sz w:val="22"/>
      <w:szCs w:val="22"/>
      <w:u w:val="single"/>
    </w:rPr>
  </w:style>
  <w:style w:type="paragraph" w:styleId="Heading7">
    <w:name w:val="heading 7"/>
    <w:basedOn w:val="AppendixHeading1"/>
    <w:next w:val="BodyText"/>
    <w:link w:val="Heading7Char"/>
    <w:qFormat/>
    <w:rsid w:val="00A131E1"/>
    <w:pPr>
      <w:numPr>
        <w:numId w:val="0"/>
      </w:numPr>
      <w:outlineLvl w:val="6"/>
    </w:pPr>
  </w:style>
  <w:style w:type="paragraph" w:styleId="Heading8">
    <w:name w:val="heading 8"/>
    <w:basedOn w:val="AppendixHeading2"/>
    <w:next w:val="BodyText"/>
    <w:link w:val="Heading8Char"/>
    <w:qFormat/>
    <w:rsid w:val="00A131E1"/>
    <w:pPr>
      <w:numPr>
        <w:ilvl w:val="0"/>
        <w:numId w:val="0"/>
      </w:numPr>
      <w:outlineLvl w:val="7"/>
    </w:pPr>
  </w:style>
  <w:style w:type="paragraph" w:styleId="Heading9">
    <w:name w:val="heading 9"/>
    <w:basedOn w:val="AppendixHeading3"/>
    <w:next w:val="BodyText"/>
    <w:link w:val="Heading9Char"/>
    <w:qFormat/>
    <w:rsid w:val="00A131E1"/>
    <w:pPr>
      <w:numPr>
        <w:ilvl w:val="0"/>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A131E1"/>
    <w:pPr>
      <w:pBdr>
        <w:bottom w:val="single" w:sz="2" w:space="8" w:color="889191"/>
      </w:pBdr>
      <w:tabs>
        <w:tab w:val="right" w:pos="9057"/>
      </w:tabs>
    </w:pPr>
    <w:rPr>
      <w:rFonts w:ascii="Calibri" w:hAnsi="Calibri"/>
      <w:noProof/>
      <w:color w:val="4C5A52"/>
      <w:sz w:val="18"/>
      <w:szCs w:val="24"/>
    </w:rPr>
  </w:style>
  <w:style w:type="paragraph" w:styleId="Footer">
    <w:name w:val="footer"/>
    <w:rsid w:val="00A131E1"/>
    <w:pPr>
      <w:tabs>
        <w:tab w:val="right" w:pos="9350"/>
      </w:tabs>
      <w:ind w:right="34"/>
    </w:pPr>
    <w:rPr>
      <w:rFonts w:ascii="Calibri" w:hAnsi="Calibri"/>
      <w:sz w:val="18"/>
      <w:szCs w:val="24"/>
    </w:rPr>
  </w:style>
  <w:style w:type="character" w:styleId="Hyperlink">
    <w:name w:val="Hyperlink"/>
    <w:uiPriority w:val="99"/>
    <w:rsid w:val="00A131E1"/>
    <w:rPr>
      <w:rFonts w:ascii="Calibri" w:hAnsi="Calibri"/>
      <w:color w:val="0000FF"/>
      <w:u w:val="single"/>
    </w:rPr>
  </w:style>
  <w:style w:type="paragraph" w:customStyle="1" w:styleId="FooterPg2">
    <w:name w:val="Footer Pg2"/>
    <w:basedOn w:val="Footer"/>
    <w:rPr>
      <w:rFonts w:ascii="Arial" w:hAnsi="Arial"/>
      <w:i/>
    </w:rPr>
  </w:style>
  <w:style w:type="paragraph" w:customStyle="1" w:styleId="LetterAddresses">
    <w:name w:val="Letter Addresses"/>
    <w:basedOn w:val="Normal"/>
    <w:pPr>
      <w:spacing w:after="240"/>
    </w:pPr>
  </w:style>
  <w:style w:type="character" w:styleId="PageNumber">
    <w:name w:val="page number"/>
    <w:rsid w:val="00A131E1"/>
    <w:rPr>
      <w:rFonts w:ascii="Calibri" w:hAnsi="Calibri"/>
      <w:b w:val="0"/>
      <w:noProof/>
      <w:color w:val="4C5A52"/>
      <w:sz w:val="22"/>
    </w:rPr>
  </w:style>
  <w:style w:type="paragraph" w:styleId="BodyText">
    <w:name w:val="Body Text"/>
    <w:aliases w:val="key experience,(Alt+1),Body,BodyText,body,text,key experience Char Char,Body Text Char1,Body Text Char Char,Body Text Char1 Char Char,Body Text Char Char Char Char,Body Text Char1 Char Char Char Char,Body Text Char Char Char Char Char Char"/>
    <w:basedOn w:val="Normal"/>
    <w:link w:val="BodyTextChar"/>
    <w:rsid w:val="00A131E1"/>
    <w:pPr>
      <w:autoSpaceDE w:val="0"/>
      <w:autoSpaceDN w:val="0"/>
      <w:adjustRightInd w:val="0"/>
      <w:spacing w:before="240"/>
      <w:textAlignment w:val="center"/>
    </w:pPr>
    <w:rPr>
      <w:rFonts w:ascii="Calibri" w:hAnsi="Calibri"/>
      <w:szCs w:val="20"/>
      <w:lang w:eastAsia="en-US"/>
    </w:rPr>
  </w:style>
  <w:style w:type="paragraph" w:styleId="ListBullet">
    <w:name w:val="List Bullet"/>
    <w:link w:val="ListBulletChar"/>
    <w:rsid w:val="00A131E1"/>
    <w:pPr>
      <w:numPr>
        <w:numId w:val="7"/>
      </w:numPr>
      <w:spacing w:before="120"/>
    </w:pPr>
    <w:rPr>
      <w:rFonts w:ascii="Calibri" w:hAnsi="Calibri"/>
      <w:sz w:val="22"/>
      <w:szCs w:val="24"/>
    </w:rPr>
  </w:style>
  <w:style w:type="paragraph" w:styleId="ListBullet2">
    <w:name w:val="List Bullet 2"/>
    <w:rsid w:val="00A131E1"/>
    <w:pPr>
      <w:numPr>
        <w:ilvl w:val="1"/>
        <w:numId w:val="8"/>
      </w:numPr>
      <w:spacing w:before="120"/>
    </w:pPr>
    <w:rPr>
      <w:rFonts w:ascii="Calibri" w:hAnsi="Calibri"/>
      <w:sz w:val="22"/>
      <w:szCs w:val="24"/>
    </w:rPr>
  </w:style>
  <w:style w:type="paragraph" w:styleId="ListBullet3">
    <w:name w:val="List Bullet 3"/>
    <w:rsid w:val="00A131E1"/>
    <w:pPr>
      <w:numPr>
        <w:ilvl w:val="2"/>
        <w:numId w:val="8"/>
      </w:numPr>
      <w:spacing w:before="120"/>
    </w:pPr>
    <w:rPr>
      <w:rFonts w:ascii="Calibri" w:hAnsi="Calibri"/>
      <w:sz w:val="22"/>
      <w:szCs w:val="24"/>
    </w:rPr>
  </w:style>
  <w:style w:type="paragraph" w:styleId="ListNumber">
    <w:name w:val="List Number"/>
    <w:basedOn w:val="Normal"/>
    <w:rsid w:val="00A131E1"/>
    <w:pPr>
      <w:numPr>
        <w:numId w:val="11"/>
      </w:numPr>
      <w:spacing w:before="120"/>
    </w:pPr>
    <w:rPr>
      <w:rFonts w:ascii="Calibri" w:hAnsi="Calibri"/>
    </w:rPr>
  </w:style>
  <w:style w:type="paragraph" w:styleId="ListNumber2">
    <w:name w:val="List Number 2"/>
    <w:basedOn w:val="Normal"/>
    <w:rsid w:val="00A131E1"/>
    <w:pPr>
      <w:numPr>
        <w:ilvl w:val="1"/>
        <w:numId w:val="11"/>
      </w:numPr>
      <w:spacing w:before="120"/>
    </w:pPr>
    <w:rPr>
      <w:rFonts w:ascii="Calibri" w:hAnsi="Calibri"/>
    </w:rPr>
  </w:style>
  <w:style w:type="paragraph" w:styleId="ListNumber3">
    <w:name w:val="List Number 3"/>
    <w:basedOn w:val="Normal"/>
    <w:rsid w:val="00A131E1"/>
    <w:pPr>
      <w:numPr>
        <w:ilvl w:val="2"/>
        <w:numId w:val="11"/>
      </w:numPr>
      <w:spacing w:before="120"/>
    </w:pPr>
    <w:rPr>
      <w:rFonts w:ascii="Calibri" w:hAnsi="Calibri"/>
    </w:rPr>
  </w:style>
  <w:style w:type="paragraph" w:styleId="ListBullet4">
    <w:name w:val="List Bullet 4"/>
    <w:basedOn w:val="Normal"/>
    <w:rsid w:val="00A131E1"/>
    <w:pPr>
      <w:numPr>
        <w:numId w:val="9"/>
      </w:numPr>
    </w:pPr>
  </w:style>
  <w:style w:type="character" w:customStyle="1" w:styleId="ListBulletChar">
    <w:name w:val="List Bullet Char"/>
    <w:link w:val="ListBullet"/>
    <w:rsid w:val="00A131E1"/>
    <w:rPr>
      <w:rFonts w:ascii="Calibri" w:hAnsi="Calibri"/>
      <w:sz w:val="22"/>
      <w:szCs w:val="24"/>
    </w:rPr>
  </w:style>
  <w:style w:type="paragraph" w:styleId="BodyTextIndent3">
    <w:name w:val="Body Text Indent 3"/>
    <w:basedOn w:val="BodyText"/>
    <w:rsid w:val="00A131E1"/>
    <w:pPr>
      <w:spacing w:before="120"/>
      <w:ind w:left="1701"/>
    </w:pPr>
    <w:rPr>
      <w:spacing w:val="-2"/>
      <w:szCs w:val="16"/>
    </w:rPr>
  </w:style>
  <w:style w:type="numbering" w:styleId="111111">
    <w:name w:val="Outline List 2"/>
    <w:basedOn w:val="NoList"/>
    <w:rsid w:val="00A131E1"/>
    <w:pPr>
      <w:numPr>
        <w:numId w:val="1"/>
      </w:numPr>
    </w:pPr>
  </w:style>
  <w:style w:type="numbering" w:styleId="1ai">
    <w:name w:val="Outline List 1"/>
    <w:basedOn w:val="NoList"/>
    <w:rsid w:val="00A131E1"/>
    <w:pPr>
      <w:numPr>
        <w:numId w:val="2"/>
      </w:numPr>
    </w:pPr>
  </w:style>
  <w:style w:type="paragraph" w:customStyle="1" w:styleId="AppendixHeading1">
    <w:name w:val="Appendix Heading 1"/>
    <w:next w:val="BodyText"/>
    <w:rsid w:val="00A131E1"/>
    <w:pPr>
      <w:numPr>
        <w:numId w:val="5"/>
      </w:numPr>
      <w:spacing w:before="360" w:after="360"/>
    </w:pPr>
    <w:rPr>
      <w:rFonts w:ascii="Calibri" w:hAnsi="Calibri"/>
      <w:b/>
      <w:color w:val="4C5A52"/>
      <w:sz w:val="36"/>
      <w:szCs w:val="32"/>
    </w:rPr>
  </w:style>
  <w:style w:type="paragraph" w:customStyle="1" w:styleId="AppendixHeading2">
    <w:name w:val="Appendix Heading 2"/>
    <w:basedOn w:val="AppendixHeading1"/>
    <w:next w:val="BodyText"/>
    <w:rsid w:val="00A131E1"/>
    <w:pPr>
      <w:numPr>
        <w:ilvl w:val="1"/>
      </w:numPr>
      <w:spacing w:after="240"/>
    </w:pPr>
    <w:rPr>
      <w:sz w:val="24"/>
    </w:rPr>
  </w:style>
  <w:style w:type="paragraph" w:customStyle="1" w:styleId="AppendixHeading3">
    <w:name w:val="Appendix Heading 3"/>
    <w:next w:val="BodyText"/>
    <w:rsid w:val="00A131E1"/>
    <w:pPr>
      <w:numPr>
        <w:ilvl w:val="2"/>
        <w:numId w:val="5"/>
      </w:numPr>
      <w:spacing w:before="360" w:after="240"/>
    </w:pPr>
    <w:rPr>
      <w:rFonts w:ascii="Calibri" w:hAnsi="Calibri"/>
      <w:b/>
      <w:color w:val="4C5A52"/>
      <w:sz w:val="22"/>
      <w:szCs w:val="26"/>
    </w:rPr>
  </w:style>
  <w:style w:type="character" w:customStyle="1" w:styleId="Heading6Char">
    <w:name w:val="Heading 6 Char"/>
    <w:link w:val="Heading6"/>
    <w:rsid w:val="00A131E1"/>
    <w:rPr>
      <w:rFonts w:ascii="Arial" w:hAnsi="Arial"/>
      <w:bCs/>
      <w:sz w:val="22"/>
      <w:szCs w:val="22"/>
      <w:u w:val="single"/>
    </w:rPr>
  </w:style>
  <w:style w:type="character" w:customStyle="1" w:styleId="Heading7Char">
    <w:name w:val="Heading 7 Char"/>
    <w:link w:val="Heading7"/>
    <w:rsid w:val="00A131E1"/>
    <w:rPr>
      <w:rFonts w:ascii="Calibri" w:hAnsi="Calibri"/>
      <w:b/>
      <w:color w:val="4C5A52"/>
      <w:sz w:val="36"/>
      <w:szCs w:val="32"/>
    </w:rPr>
  </w:style>
  <w:style w:type="character" w:customStyle="1" w:styleId="Heading8Char">
    <w:name w:val="Heading 8 Char"/>
    <w:link w:val="Heading8"/>
    <w:rsid w:val="00A131E1"/>
    <w:rPr>
      <w:rFonts w:ascii="Calibri" w:hAnsi="Calibri"/>
      <w:b/>
      <w:color w:val="4C5A52"/>
      <w:sz w:val="24"/>
      <w:szCs w:val="32"/>
    </w:rPr>
  </w:style>
  <w:style w:type="character" w:customStyle="1" w:styleId="Heading9Char">
    <w:name w:val="Heading 9 Char"/>
    <w:link w:val="Heading9"/>
    <w:rsid w:val="00A131E1"/>
    <w:rPr>
      <w:rFonts w:ascii="Calibri" w:hAnsi="Calibri"/>
      <w:b/>
      <w:color w:val="4C5A52"/>
      <w:sz w:val="22"/>
      <w:szCs w:val="26"/>
    </w:rPr>
  </w:style>
  <w:style w:type="numbering" w:styleId="ArticleSection">
    <w:name w:val="Outline List 3"/>
    <w:basedOn w:val="NoList"/>
    <w:rsid w:val="00A131E1"/>
    <w:pPr>
      <w:numPr>
        <w:numId w:val="3"/>
      </w:numPr>
    </w:pPr>
  </w:style>
  <w:style w:type="paragraph" w:styleId="BalloonText">
    <w:name w:val="Balloon Text"/>
    <w:basedOn w:val="Normal"/>
    <w:link w:val="BalloonTextChar"/>
    <w:rsid w:val="00A131E1"/>
    <w:rPr>
      <w:rFonts w:ascii="Tahoma" w:hAnsi="Tahoma" w:cs="Tahoma"/>
      <w:sz w:val="16"/>
      <w:szCs w:val="16"/>
    </w:rPr>
  </w:style>
  <w:style w:type="character" w:customStyle="1" w:styleId="BalloonTextChar">
    <w:name w:val="Balloon Text Char"/>
    <w:link w:val="BalloonText"/>
    <w:rsid w:val="00A131E1"/>
    <w:rPr>
      <w:rFonts w:ascii="Tahoma" w:hAnsi="Tahoma" w:cs="Tahoma"/>
      <w:sz w:val="16"/>
      <w:szCs w:val="16"/>
    </w:rPr>
  </w:style>
  <w:style w:type="paragraph" w:styleId="Bibliography">
    <w:name w:val="Bibliography"/>
    <w:basedOn w:val="Normal"/>
    <w:next w:val="Normal"/>
    <w:uiPriority w:val="37"/>
    <w:semiHidden/>
    <w:unhideWhenUsed/>
    <w:rsid w:val="00A131E1"/>
  </w:style>
  <w:style w:type="paragraph" w:styleId="BlockText">
    <w:name w:val="Block Text"/>
    <w:basedOn w:val="Normal"/>
    <w:rsid w:val="00A131E1"/>
    <w:pPr>
      <w:spacing w:after="120"/>
      <w:ind w:left="1440" w:right="1440"/>
    </w:pPr>
  </w:style>
  <w:style w:type="character" w:customStyle="1" w:styleId="BodyTextChar">
    <w:name w:val="Body Text Char"/>
    <w:aliases w:val="key experience Char,(Alt+1) Char,Body Char,BodyText Char,body Char,text Char,key experience Char Char Char,Body Text Char1 Char,Body Text Char Char Char,Body Text Char1 Char Char Char,Body Text Char Char Char Char Char"/>
    <w:link w:val="BodyText"/>
    <w:rsid w:val="00A131E1"/>
    <w:rPr>
      <w:rFonts w:ascii="Calibri" w:hAnsi="Calibri"/>
      <w:sz w:val="22"/>
      <w:lang w:eastAsia="en-US"/>
    </w:rPr>
  </w:style>
  <w:style w:type="paragraph" w:styleId="BodyText2">
    <w:name w:val="Body Text 2"/>
    <w:basedOn w:val="Normal"/>
    <w:link w:val="BodyText2Char"/>
    <w:rsid w:val="00A131E1"/>
    <w:pPr>
      <w:spacing w:after="120" w:line="480" w:lineRule="auto"/>
    </w:pPr>
  </w:style>
  <w:style w:type="character" w:customStyle="1" w:styleId="BodyText2Char">
    <w:name w:val="Body Text 2 Char"/>
    <w:link w:val="BodyText2"/>
    <w:rsid w:val="00A131E1"/>
    <w:rPr>
      <w:sz w:val="22"/>
      <w:szCs w:val="24"/>
    </w:rPr>
  </w:style>
  <w:style w:type="paragraph" w:styleId="BodyText3">
    <w:name w:val="Body Text 3"/>
    <w:basedOn w:val="Normal"/>
    <w:link w:val="BodyText3Char"/>
    <w:rsid w:val="00A131E1"/>
    <w:pPr>
      <w:spacing w:after="120"/>
    </w:pPr>
    <w:rPr>
      <w:sz w:val="16"/>
      <w:szCs w:val="16"/>
    </w:rPr>
  </w:style>
  <w:style w:type="character" w:customStyle="1" w:styleId="BodyText3Char">
    <w:name w:val="Body Text 3 Char"/>
    <w:link w:val="BodyText3"/>
    <w:rsid w:val="00A131E1"/>
    <w:rPr>
      <w:sz w:val="16"/>
      <w:szCs w:val="16"/>
    </w:rPr>
  </w:style>
  <w:style w:type="paragraph" w:styleId="BodyTextFirstIndent">
    <w:name w:val="Body Text First Indent"/>
    <w:basedOn w:val="BodyText"/>
    <w:link w:val="BodyTextFirstIndentChar"/>
    <w:rsid w:val="00A131E1"/>
    <w:pPr>
      <w:autoSpaceDE/>
      <w:autoSpaceDN/>
      <w:adjustRightInd/>
      <w:spacing w:before="0"/>
      <w:ind w:firstLine="360"/>
      <w:textAlignment w:val="auto"/>
    </w:pPr>
    <w:rPr>
      <w:rFonts w:ascii="Times New Roman" w:hAnsi="Times New Roman"/>
      <w:szCs w:val="24"/>
      <w:lang w:eastAsia="en-AU"/>
    </w:rPr>
  </w:style>
  <w:style w:type="character" w:customStyle="1" w:styleId="BodyTextFirstIndentChar">
    <w:name w:val="Body Text First Indent Char"/>
    <w:link w:val="BodyTextFirstIndent"/>
    <w:rsid w:val="00A131E1"/>
    <w:rPr>
      <w:sz w:val="22"/>
      <w:szCs w:val="24"/>
    </w:rPr>
  </w:style>
  <w:style w:type="paragraph" w:styleId="BodyTextIndent">
    <w:name w:val="Body Text Indent"/>
    <w:basedOn w:val="BodyText"/>
    <w:link w:val="BodyTextIndentChar"/>
    <w:rsid w:val="00A131E1"/>
    <w:pPr>
      <w:spacing w:before="120"/>
      <w:ind w:left="567"/>
    </w:pPr>
  </w:style>
  <w:style w:type="character" w:customStyle="1" w:styleId="BodyTextIndentChar">
    <w:name w:val="Body Text Indent Char"/>
    <w:link w:val="BodyTextIndent"/>
    <w:rsid w:val="00A131E1"/>
    <w:rPr>
      <w:rFonts w:ascii="Calibri" w:hAnsi="Calibri"/>
      <w:sz w:val="22"/>
      <w:lang w:eastAsia="en-US"/>
    </w:rPr>
  </w:style>
  <w:style w:type="paragraph" w:styleId="BodyTextFirstIndent2">
    <w:name w:val="Body Text First Indent 2"/>
    <w:basedOn w:val="BodyTextIndent"/>
    <w:link w:val="BodyTextFirstIndent2Char"/>
    <w:rsid w:val="00A131E1"/>
    <w:pPr>
      <w:autoSpaceDE/>
      <w:autoSpaceDN/>
      <w:adjustRightInd/>
      <w:spacing w:before="0"/>
      <w:ind w:left="360" w:firstLine="360"/>
      <w:textAlignment w:val="auto"/>
    </w:pPr>
    <w:rPr>
      <w:rFonts w:ascii="Times New Roman" w:hAnsi="Times New Roman"/>
      <w:szCs w:val="24"/>
      <w:lang w:eastAsia="en-AU"/>
    </w:rPr>
  </w:style>
  <w:style w:type="character" w:customStyle="1" w:styleId="BodyTextFirstIndent2Char">
    <w:name w:val="Body Text First Indent 2 Char"/>
    <w:link w:val="BodyTextFirstIndent2"/>
    <w:rsid w:val="00A131E1"/>
    <w:rPr>
      <w:sz w:val="22"/>
      <w:szCs w:val="24"/>
    </w:rPr>
  </w:style>
  <w:style w:type="paragraph" w:styleId="BodyTextIndent2">
    <w:name w:val="Body Text Indent 2"/>
    <w:basedOn w:val="BodyText"/>
    <w:link w:val="BodyTextIndent2Char"/>
    <w:rsid w:val="00A131E1"/>
    <w:pPr>
      <w:spacing w:before="120"/>
      <w:ind w:left="1134"/>
    </w:pPr>
    <w:rPr>
      <w:spacing w:val="-2"/>
    </w:rPr>
  </w:style>
  <w:style w:type="character" w:customStyle="1" w:styleId="BodyTextIndent2Char">
    <w:name w:val="Body Text Indent 2 Char"/>
    <w:link w:val="BodyTextIndent2"/>
    <w:rsid w:val="00A131E1"/>
    <w:rPr>
      <w:rFonts w:ascii="Calibri" w:hAnsi="Calibri"/>
      <w:spacing w:val="-2"/>
      <w:sz w:val="22"/>
      <w:lang w:eastAsia="en-US"/>
    </w:rPr>
  </w:style>
  <w:style w:type="character" w:styleId="BookTitle">
    <w:name w:val="Book Title"/>
    <w:uiPriority w:val="33"/>
    <w:qFormat/>
    <w:rsid w:val="00A131E1"/>
    <w:rPr>
      <w:b/>
      <w:bCs/>
      <w:smallCaps/>
      <w:spacing w:val="5"/>
    </w:rPr>
  </w:style>
  <w:style w:type="paragraph" w:styleId="Caption">
    <w:name w:val="caption"/>
    <w:basedOn w:val="Normal"/>
    <w:next w:val="Normal"/>
    <w:qFormat/>
    <w:rsid w:val="00A131E1"/>
    <w:pPr>
      <w:spacing w:before="240" w:after="120"/>
    </w:pPr>
    <w:rPr>
      <w:rFonts w:ascii="Calibri" w:hAnsi="Calibri"/>
      <w:b/>
      <w:bCs/>
      <w:sz w:val="20"/>
      <w:szCs w:val="20"/>
    </w:rPr>
  </w:style>
  <w:style w:type="paragraph" w:customStyle="1" w:styleId="Captiontext">
    <w:name w:val="Caption text"/>
    <w:next w:val="BodyText"/>
    <w:rsid w:val="00A131E1"/>
    <w:pPr>
      <w:spacing w:before="240" w:after="360"/>
      <w:jc w:val="center"/>
    </w:pPr>
    <w:rPr>
      <w:rFonts w:ascii="Calibri" w:hAnsi="Calibri"/>
      <w:color w:val="4C5A52"/>
      <w:szCs w:val="24"/>
    </w:rPr>
  </w:style>
  <w:style w:type="paragraph" w:styleId="Closing">
    <w:name w:val="Closing"/>
    <w:basedOn w:val="Normal"/>
    <w:link w:val="ClosingChar"/>
    <w:rsid w:val="00A131E1"/>
    <w:pPr>
      <w:ind w:left="4320"/>
    </w:pPr>
  </w:style>
  <w:style w:type="character" w:customStyle="1" w:styleId="ClosingChar">
    <w:name w:val="Closing Char"/>
    <w:link w:val="Closing"/>
    <w:rsid w:val="00A131E1"/>
    <w:rPr>
      <w:sz w:val="22"/>
      <w:szCs w:val="24"/>
    </w:rPr>
  </w:style>
  <w:style w:type="table" w:styleId="ColorfulGrid">
    <w:name w:val="Colorful Grid"/>
    <w:basedOn w:val="TableNormal"/>
    <w:uiPriority w:val="73"/>
    <w:rsid w:val="00A131E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A131E1"/>
    <w:rPr>
      <w:color w:val="000000"/>
    </w:rPr>
    <w:tblPr>
      <w:tblStyleRowBandSize w:val="1"/>
      <w:tblStyleColBandSize w:val="1"/>
      <w:tblBorders>
        <w:insideH w:val="single" w:sz="4" w:space="0" w:color="FFFFFF"/>
      </w:tblBorders>
    </w:tblPr>
    <w:tcPr>
      <w:shd w:val="clear" w:color="auto" w:fill="F9FFC3"/>
    </w:tcPr>
    <w:tblStylePr w:type="firstRow">
      <w:rPr>
        <w:b/>
        <w:bCs/>
      </w:rPr>
      <w:tblPr/>
      <w:tcPr>
        <w:shd w:val="clear" w:color="auto" w:fill="F4FF88"/>
      </w:tcPr>
    </w:tblStylePr>
    <w:tblStylePr w:type="lastRow">
      <w:rPr>
        <w:b/>
        <w:bCs/>
        <w:color w:val="000000"/>
      </w:rPr>
      <w:tblPr/>
      <w:tcPr>
        <w:shd w:val="clear" w:color="auto" w:fill="F4FF88"/>
      </w:tcPr>
    </w:tblStylePr>
    <w:tblStylePr w:type="firstCol">
      <w:rPr>
        <w:color w:val="FFFFFF"/>
      </w:rPr>
      <w:tblPr/>
      <w:tcPr>
        <w:shd w:val="clear" w:color="auto" w:fill="92A000"/>
      </w:tcPr>
    </w:tblStylePr>
    <w:tblStylePr w:type="lastCol">
      <w:rPr>
        <w:color w:val="FFFFFF"/>
      </w:rPr>
      <w:tblPr/>
      <w:tcPr>
        <w:shd w:val="clear" w:color="auto" w:fill="92A000"/>
      </w:tcPr>
    </w:tblStylePr>
    <w:tblStylePr w:type="band1Vert">
      <w:tblPr/>
      <w:tcPr>
        <w:shd w:val="clear" w:color="auto" w:fill="F2FF6B"/>
      </w:tcPr>
    </w:tblStylePr>
    <w:tblStylePr w:type="band1Horz">
      <w:tblPr/>
      <w:tcPr>
        <w:shd w:val="clear" w:color="auto" w:fill="F2FF6B"/>
      </w:tcPr>
    </w:tblStylePr>
  </w:style>
  <w:style w:type="table" w:styleId="ColorfulGrid-Accent2">
    <w:name w:val="Colorful Grid Accent 2"/>
    <w:basedOn w:val="TableNormal"/>
    <w:uiPriority w:val="73"/>
    <w:rsid w:val="00A131E1"/>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A131E1"/>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A131E1"/>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A131E1"/>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A131E1"/>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sid w:val="00A131E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A131E1"/>
    <w:rPr>
      <w:color w:val="000000"/>
    </w:rPr>
    <w:tblPr>
      <w:tblStyleRowBandSize w:val="1"/>
      <w:tblStyleColBandSize w:val="1"/>
    </w:tblPr>
    <w:tcPr>
      <w:shd w:val="clear" w:color="auto" w:fill="FCFFE1"/>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cPr>
    </w:tblStylePr>
    <w:tblStylePr w:type="band1Horz">
      <w:tblPr/>
      <w:tcPr>
        <w:shd w:val="clear" w:color="auto" w:fill="F9FFC3"/>
      </w:tcPr>
    </w:tblStylePr>
  </w:style>
  <w:style w:type="table" w:styleId="ColorfulList-Accent2">
    <w:name w:val="Colorful List Accent 2"/>
    <w:basedOn w:val="TableNormal"/>
    <w:uiPriority w:val="72"/>
    <w:rsid w:val="00A131E1"/>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A131E1"/>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A131E1"/>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A131E1"/>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A131E1"/>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sid w:val="00A131E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131E1"/>
    <w:rPr>
      <w:color w:val="000000"/>
    </w:rPr>
    <w:tblPr>
      <w:tblStyleRowBandSize w:val="1"/>
      <w:tblStyleColBandSize w:val="1"/>
      <w:tblBorders>
        <w:top w:val="single" w:sz="24" w:space="0" w:color="C0504D"/>
        <w:left w:val="single" w:sz="4" w:space="0" w:color="C4D600"/>
        <w:bottom w:val="single" w:sz="4" w:space="0" w:color="C4D600"/>
        <w:right w:val="single" w:sz="4" w:space="0" w:color="C4D600"/>
        <w:insideH w:val="single" w:sz="4" w:space="0" w:color="FFFFFF"/>
        <w:insideV w:val="single" w:sz="4" w:space="0" w:color="FFFFFF"/>
      </w:tblBorders>
    </w:tblPr>
    <w:tcPr>
      <w:shd w:val="clear" w:color="auto" w:fill="FCFFE1"/>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58000"/>
      </w:tcPr>
    </w:tblStylePr>
    <w:tblStylePr w:type="firstCol">
      <w:rPr>
        <w:color w:val="FFFFFF"/>
      </w:rPr>
      <w:tblPr/>
      <w:tcPr>
        <w:tcBorders>
          <w:top w:val="nil"/>
          <w:left w:val="nil"/>
          <w:bottom w:val="nil"/>
          <w:right w:val="nil"/>
          <w:insideH w:val="single" w:sz="4" w:space="0" w:color="758000"/>
          <w:insideV w:val="nil"/>
        </w:tcBorders>
        <w:shd w:val="clear" w:color="auto" w:fill="758000"/>
      </w:tcPr>
    </w:tblStylePr>
    <w:tblStylePr w:type="lastCol">
      <w:rPr>
        <w:color w:val="FFFFFF"/>
      </w:rPr>
      <w:tblPr/>
      <w:tcPr>
        <w:tcBorders>
          <w:top w:val="nil"/>
          <w:left w:val="nil"/>
          <w:bottom w:val="nil"/>
          <w:right w:val="nil"/>
          <w:insideH w:val="nil"/>
          <w:insideV w:val="nil"/>
        </w:tcBorders>
        <w:shd w:val="clear" w:color="auto" w:fill="758000"/>
      </w:tcPr>
    </w:tblStylePr>
    <w:tblStylePr w:type="band1Vert">
      <w:tblPr/>
      <w:tcPr>
        <w:shd w:val="clear" w:color="auto" w:fill="F4FF88"/>
      </w:tcPr>
    </w:tblStylePr>
    <w:tblStylePr w:type="band1Horz">
      <w:tblPr/>
      <w:tcPr>
        <w:shd w:val="clear" w:color="auto" w:fill="F2FF6B"/>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131E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131E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A131E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131E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131E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sid w:val="00A131E1"/>
    <w:rPr>
      <w:sz w:val="16"/>
      <w:szCs w:val="16"/>
    </w:rPr>
  </w:style>
  <w:style w:type="paragraph" w:styleId="CommentText">
    <w:name w:val="annotation text"/>
    <w:basedOn w:val="Normal"/>
    <w:link w:val="CommentTextChar"/>
    <w:rsid w:val="00A131E1"/>
    <w:rPr>
      <w:sz w:val="20"/>
      <w:szCs w:val="20"/>
    </w:rPr>
  </w:style>
  <w:style w:type="character" w:customStyle="1" w:styleId="CommentTextChar">
    <w:name w:val="Comment Text Char"/>
    <w:link w:val="CommentText"/>
    <w:rsid w:val="00A131E1"/>
  </w:style>
  <w:style w:type="paragraph" w:styleId="CommentSubject">
    <w:name w:val="annotation subject"/>
    <w:basedOn w:val="CommentText"/>
    <w:next w:val="CommentText"/>
    <w:link w:val="CommentSubjectChar"/>
    <w:rsid w:val="00A131E1"/>
    <w:rPr>
      <w:b/>
      <w:bCs/>
    </w:rPr>
  </w:style>
  <w:style w:type="character" w:customStyle="1" w:styleId="CommentSubjectChar">
    <w:name w:val="Comment Subject Char"/>
    <w:link w:val="CommentSubject"/>
    <w:rsid w:val="00A131E1"/>
    <w:rPr>
      <w:b/>
      <w:bCs/>
    </w:rPr>
  </w:style>
  <w:style w:type="table" w:styleId="DarkList">
    <w:name w:val="Dark List"/>
    <w:basedOn w:val="TableNormal"/>
    <w:uiPriority w:val="70"/>
    <w:rsid w:val="00A131E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131E1"/>
    <w:rPr>
      <w:color w:val="FFFFFF"/>
    </w:rPr>
    <w:tblPr>
      <w:tblStyleRowBandSize w:val="1"/>
      <w:tblStyleColBandSize w:val="1"/>
    </w:tblPr>
    <w:tcPr>
      <w:shd w:val="clear" w:color="auto" w:fill="C4D6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16A00"/>
      </w:tcPr>
    </w:tblStylePr>
    <w:tblStylePr w:type="firstCol">
      <w:tblPr/>
      <w:tcPr>
        <w:tcBorders>
          <w:top w:val="nil"/>
          <w:left w:val="nil"/>
          <w:bottom w:val="nil"/>
          <w:right w:val="single" w:sz="18" w:space="0" w:color="FFFFFF"/>
          <w:insideH w:val="nil"/>
          <w:insideV w:val="nil"/>
        </w:tcBorders>
        <w:shd w:val="clear" w:color="auto" w:fill="92A000"/>
      </w:tcPr>
    </w:tblStylePr>
    <w:tblStylePr w:type="lastCol">
      <w:tblPr/>
      <w:tcPr>
        <w:tcBorders>
          <w:top w:val="nil"/>
          <w:left w:val="single" w:sz="18" w:space="0" w:color="FFFFFF"/>
          <w:bottom w:val="nil"/>
          <w:right w:val="nil"/>
          <w:insideH w:val="nil"/>
          <w:insideV w:val="nil"/>
        </w:tcBorders>
        <w:shd w:val="clear" w:color="auto" w:fill="92A000"/>
      </w:tcPr>
    </w:tblStylePr>
    <w:tblStylePr w:type="band1Vert">
      <w:tblPr/>
      <w:tcPr>
        <w:tcBorders>
          <w:top w:val="nil"/>
          <w:left w:val="nil"/>
          <w:bottom w:val="nil"/>
          <w:right w:val="nil"/>
          <w:insideH w:val="nil"/>
          <w:insideV w:val="nil"/>
        </w:tcBorders>
        <w:shd w:val="clear" w:color="auto" w:fill="92A000"/>
      </w:tcPr>
    </w:tblStylePr>
    <w:tblStylePr w:type="band1Horz">
      <w:tblPr/>
      <w:tcPr>
        <w:tcBorders>
          <w:top w:val="nil"/>
          <w:left w:val="nil"/>
          <w:bottom w:val="nil"/>
          <w:right w:val="nil"/>
          <w:insideH w:val="nil"/>
          <w:insideV w:val="nil"/>
        </w:tcBorders>
        <w:shd w:val="clear" w:color="auto" w:fill="92A000"/>
      </w:tcPr>
    </w:tblStylePr>
  </w:style>
  <w:style w:type="table" w:styleId="DarkList-Accent2">
    <w:name w:val="Dark List Accent 2"/>
    <w:basedOn w:val="TableNormal"/>
    <w:uiPriority w:val="70"/>
    <w:rsid w:val="00A131E1"/>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A131E1"/>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A131E1"/>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A131E1"/>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A131E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rsid w:val="00A131E1"/>
    <w:pPr>
      <w:spacing w:before="120" w:after="120"/>
      <w:jc w:val="center"/>
    </w:pPr>
    <w:rPr>
      <w:rFonts w:ascii="Calibri" w:hAnsi="Calibri"/>
    </w:rPr>
  </w:style>
  <w:style w:type="character" w:customStyle="1" w:styleId="DateChar">
    <w:name w:val="Date Char"/>
    <w:link w:val="Date"/>
    <w:rsid w:val="00A131E1"/>
    <w:rPr>
      <w:rFonts w:ascii="Calibri" w:hAnsi="Calibri"/>
      <w:sz w:val="22"/>
      <w:szCs w:val="24"/>
    </w:rPr>
  </w:style>
  <w:style w:type="paragraph" w:customStyle="1" w:styleId="NotHeading2">
    <w:name w:val="Not Heading 2"/>
    <w:rsid w:val="00A131E1"/>
    <w:pPr>
      <w:spacing w:before="360" w:after="240"/>
    </w:pPr>
    <w:rPr>
      <w:rFonts w:ascii="Calibri" w:hAnsi="Calibri" w:cs="Arial"/>
      <w:bCs/>
      <w:iCs/>
      <w:color w:val="4C5A52"/>
      <w:sz w:val="24"/>
      <w:szCs w:val="24"/>
    </w:rPr>
  </w:style>
  <w:style w:type="paragraph" w:customStyle="1" w:styleId="StyleNotHeading2CenteredBefore66pt">
    <w:name w:val="Style Not Heading 2 + Centered Before:  66 pt"/>
    <w:basedOn w:val="NotHeading2"/>
    <w:rsid w:val="00A131E1"/>
    <w:pPr>
      <w:spacing w:before="1320"/>
      <w:jc w:val="center"/>
    </w:pPr>
    <w:rPr>
      <w:rFonts w:cs="Times New Roman"/>
      <w:iCs w:val="0"/>
      <w:color w:val="auto"/>
      <w:szCs w:val="20"/>
    </w:rPr>
  </w:style>
  <w:style w:type="paragraph" w:customStyle="1" w:styleId="StyleStyleNotHeading2CenteredBefore66ptLeftBefore">
    <w:name w:val="Style Style Not Heading 2 + Centered Before:  66 pt + Left Before:..."/>
    <w:basedOn w:val="StyleNotHeading2CenteredBefore66pt"/>
    <w:rsid w:val="00A131E1"/>
    <w:pPr>
      <w:spacing w:before="60" w:after="0"/>
      <w:jc w:val="left"/>
    </w:pPr>
    <w:rPr>
      <w:color w:val="4C5A52"/>
    </w:rPr>
  </w:style>
  <w:style w:type="paragraph" w:customStyle="1" w:styleId="StyleStyleStyleNotHeading2CenteredBefore66ptLeftBe1">
    <w:name w:val="Style Style Style Not Heading 2 + Centered Before:  66 pt + Left Be...1"/>
    <w:basedOn w:val="StyleStyleNotHeading2CenteredBefore66ptLeftBefore"/>
    <w:rsid w:val="00A131E1"/>
    <w:pPr>
      <w:spacing w:before="0" w:after="120"/>
    </w:pPr>
    <w:rPr>
      <w:b/>
    </w:rPr>
  </w:style>
  <w:style w:type="paragraph" w:customStyle="1" w:styleId="Dateoncover">
    <w:name w:val="Date on cover"/>
    <w:basedOn w:val="StyleStyleStyleNotHeading2CenteredBefore66ptLeftBe1"/>
    <w:rsid w:val="00A131E1"/>
    <w:pPr>
      <w:framePr w:wrap="around" w:vAnchor="page" w:hAnchor="page" w:x="3182" w:y="4650"/>
      <w:suppressOverlap/>
    </w:pPr>
  </w:style>
  <w:style w:type="paragraph" w:customStyle="1" w:styleId="DocInfHeading2">
    <w:name w:val="Doc Inf Heading 2"/>
    <w:rsid w:val="00A131E1"/>
    <w:pPr>
      <w:spacing w:before="240" w:after="40"/>
    </w:pPr>
    <w:rPr>
      <w:rFonts w:ascii="Calibri" w:hAnsi="Calibri" w:cs="Arial"/>
      <w:b/>
      <w:bCs/>
      <w:iCs/>
      <w:sz w:val="28"/>
      <w:szCs w:val="32"/>
    </w:rPr>
  </w:style>
  <w:style w:type="paragraph" w:customStyle="1" w:styleId="NotHeading1">
    <w:name w:val="Not Heading 1"/>
    <w:next w:val="Normal"/>
    <w:rsid w:val="00A131E1"/>
    <w:pPr>
      <w:pageBreakBefore/>
      <w:spacing w:before="240" w:after="360"/>
      <w:outlineLvl w:val="0"/>
    </w:pPr>
    <w:rPr>
      <w:rFonts w:ascii="Calibri" w:hAnsi="Calibri" w:cs="Arial"/>
      <w:b/>
      <w:bCs/>
      <w:color w:val="4C5A52"/>
      <w:kern w:val="32"/>
      <w:sz w:val="36"/>
      <w:szCs w:val="36"/>
    </w:rPr>
  </w:style>
  <w:style w:type="paragraph" w:customStyle="1" w:styleId="Docinfoheading">
    <w:name w:val="Doc info heading"/>
    <w:basedOn w:val="NotHeading1"/>
    <w:rsid w:val="00A131E1"/>
  </w:style>
  <w:style w:type="paragraph" w:customStyle="1" w:styleId="DocInfoEntries">
    <w:name w:val="DocInfo Entries"/>
    <w:basedOn w:val="Normal"/>
    <w:rsid w:val="00A131E1"/>
    <w:pPr>
      <w:spacing w:before="60" w:after="60"/>
    </w:pPr>
    <w:rPr>
      <w:rFonts w:ascii="Calibri" w:hAnsi="Calibri"/>
      <w:sz w:val="20"/>
    </w:rPr>
  </w:style>
  <w:style w:type="paragraph" w:customStyle="1" w:styleId="DocId">
    <w:name w:val="DocId"/>
    <w:basedOn w:val="DocInfoEntries"/>
    <w:rsid w:val="00A131E1"/>
    <w:rPr>
      <w:sz w:val="22"/>
    </w:rPr>
  </w:style>
  <w:style w:type="paragraph" w:customStyle="1" w:styleId="DocInfoContents">
    <w:name w:val="DocInfo Contents"/>
    <w:basedOn w:val="Normal"/>
    <w:rsid w:val="00A131E1"/>
    <w:pPr>
      <w:spacing w:before="60" w:after="60" w:line="300" w:lineRule="atLeast"/>
    </w:pPr>
    <w:rPr>
      <w:rFonts w:ascii="Calibri" w:hAnsi="Calibri"/>
      <w:sz w:val="20"/>
    </w:rPr>
  </w:style>
  <w:style w:type="paragraph" w:customStyle="1" w:styleId="DocInfoPermission">
    <w:name w:val="DocInfo Permission"/>
    <w:basedOn w:val="Normal"/>
    <w:rsid w:val="00A131E1"/>
    <w:pPr>
      <w:spacing w:line="240" w:lineRule="atLeast"/>
    </w:pPr>
    <w:rPr>
      <w:rFonts w:ascii="Calibri" w:hAnsi="Calibri"/>
      <w:sz w:val="16"/>
      <w:szCs w:val="16"/>
    </w:rPr>
  </w:style>
  <w:style w:type="paragraph" w:customStyle="1" w:styleId="DocInfoSignature">
    <w:name w:val="DocInfo Signature"/>
    <w:semiHidden/>
    <w:rsid w:val="00A131E1"/>
    <w:pPr>
      <w:spacing w:after="140" w:line="300" w:lineRule="atLeast"/>
    </w:pPr>
    <w:rPr>
      <w:rFonts w:ascii="Arial" w:hAnsi="Arial"/>
    </w:rPr>
  </w:style>
  <w:style w:type="paragraph" w:customStyle="1" w:styleId="StyleStyleStyleNotHeading2CenteredBefore66ptLeftBe">
    <w:name w:val="Style Style Style Not Heading 2 + Centered Before:  66 pt + Left Be..."/>
    <w:basedOn w:val="StyleStyleNotHeading2CenteredBefore66ptLeftBefore"/>
    <w:rsid w:val="00A131E1"/>
    <w:pPr>
      <w:spacing w:before="120"/>
    </w:pPr>
    <w:rPr>
      <w:b/>
    </w:rPr>
  </w:style>
  <w:style w:type="paragraph" w:customStyle="1" w:styleId="DocumentID">
    <w:name w:val="Document ID"/>
    <w:basedOn w:val="StyleStyleStyleNotHeading2CenteredBefore66ptLeftBe"/>
    <w:rsid w:val="00A131E1"/>
    <w:pPr>
      <w:framePr w:wrap="around" w:vAnchor="page" w:hAnchor="page" w:x="3182" w:y="4650"/>
      <w:suppressOverlap/>
    </w:pPr>
  </w:style>
  <w:style w:type="paragraph" w:customStyle="1" w:styleId="DocumentInformationHeading">
    <w:name w:val="Document Information Heading"/>
    <w:rsid w:val="00A131E1"/>
    <w:pPr>
      <w:widowControl w:val="0"/>
      <w:autoSpaceDE w:val="0"/>
      <w:autoSpaceDN w:val="0"/>
      <w:adjustRightInd w:val="0"/>
      <w:spacing w:before="240" w:after="40"/>
      <w:textAlignment w:val="center"/>
    </w:pPr>
    <w:rPr>
      <w:rFonts w:ascii="Calibri" w:hAnsi="Calibri" w:cs="Arial"/>
      <w:b/>
      <w:sz w:val="36"/>
      <w:szCs w:val="36"/>
      <w:lang w:eastAsia="en-US"/>
    </w:rPr>
  </w:style>
  <w:style w:type="paragraph" w:styleId="DocumentMap">
    <w:name w:val="Document Map"/>
    <w:basedOn w:val="Normal"/>
    <w:link w:val="DocumentMapChar"/>
    <w:rsid w:val="00A131E1"/>
    <w:pPr>
      <w:shd w:val="clear" w:color="auto" w:fill="000080"/>
    </w:pPr>
    <w:rPr>
      <w:rFonts w:ascii="Tahoma" w:hAnsi="Tahoma" w:cs="Tahoma"/>
      <w:sz w:val="20"/>
      <w:szCs w:val="20"/>
    </w:rPr>
  </w:style>
  <w:style w:type="character" w:customStyle="1" w:styleId="DocumentMapChar">
    <w:name w:val="Document Map Char"/>
    <w:link w:val="DocumentMap"/>
    <w:rsid w:val="00A131E1"/>
    <w:rPr>
      <w:rFonts w:ascii="Tahoma" w:hAnsi="Tahoma" w:cs="Tahoma"/>
      <w:shd w:val="clear" w:color="auto" w:fill="000080"/>
    </w:rPr>
  </w:style>
  <w:style w:type="paragraph" w:styleId="E-mailSignature">
    <w:name w:val="E-mail Signature"/>
    <w:basedOn w:val="Normal"/>
    <w:link w:val="E-mailSignatureChar"/>
    <w:rsid w:val="00A131E1"/>
  </w:style>
  <w:style w:type="character" w:customStyle="1" w:styleId="E-mailSignatureChar">
    <w:name w:val="E-mail Signature Char"/>
    <w:link w:val="E-mailSignature"/>
    <w:rsid w:val="00A131E1"/>
    <w:rPr>
      <w:sz w:val="22"/>
      <w:szCs w:val="24"/>
    </w:rPr>
  </w:style>
  <w:style w:type="character" w:styleId="Emphasis">
    <w:name w:val="Emphasis"/>
    <w:qFormat/>
    <w:rsid w:val="00A131E1"/>
    <w:rPr>
      <w:i/>
      <w:iCs/>
    </w:rPr>
  </w:style>
  <w:style w:type="character" w:styleId="EndnoteReference">
    <w:name w:val="endnote reference"/>
    <w:rsid w:val="00A131E1"/>
    <w:rPr>
      <w:vertAlign w:val="superscript"/>
    </w:rPr>
  </w:style>
  <w:style w:type="paragraph" w:styleId="EndnoteText">
    <w:name w:val="endnote text"/>
    <w:basedOn w:val="Normal"/>
    <w:link w:val="EndnoteTextChar"/>
    <w:rsid w:val="00A131E1"/>
    <w:rPr>
      <w:sz w:val="20"/>
      <w:szCs w:val="20"/>
    </w:rPr>
  </w:style>
  <w:style w:type="character" w:customStyle="1" w:styleId="EndnoteTextChar">
    <w:name w:val="Endnote Text Char"/>
    <w:link w:val="EndnoteText"/>
    <w:rsid w:val="00A131E1"/>
  </w:style>
  <w:style w:type="paragraph" w:styleId="EnvelopeAddress">
    <w:name w:val="envelope address"/>
    <w:basedOn w:val="Normal"/>
    <w:rsid w:val="00A131E1"/>
    <w:pPr>
      <w:framePr w:w="7920" w:h="1980" w:hRule="exact" w:hSpace="180" w:wrap="auto" w:hAnchor="page" w:xAlign="center" w:yAlign="bottom"/>
      <w:ind w:left="2880"/>
    </w:pPr>
    <w:rPr>
      <w:rFonts w:ascii="Cambria" w:hAnsi="Cambria"/>
      <w:sz w:val="24"/>
    </w:rPr>
  </w:style>
  <w:style w:type="paragraph" w:styleId="EnvelopeReturn">
    <w:name w:val="envelope return"/>
    <w:basedOn w:val="Normal"/>
    <w:rsid w:val="00A131E1"/>
    <w:rPr>
      <w:rFonts w:ascii="Cambria" w:hAnsi="Cambria"/>
      <w:sz w:val="20"/>
      <w:szCs w:val="20"/>
    </w:rPr>
  </w:style>
  <w:style w:type="character" w:styleId="FollowedHyperlink">
    <w:name w:val="FollowedHyperlink"/>
    <w:rsid w:val="00A131E1"/>
    <w:rPr>
      <w:color w:val="606420"/>
      <w:u w:val="single"/>
    </w:rPr>
  </w:style>
  <w:style w:type="character" w:styleId="FootnoteReference">
    <w:name w:val="footnote reference"/>
    <w:uiPriority w:val="99"/>
    <w:rsid w:val="00A131E1"/>
    <w:rPr>
      <w:vertAlign w:val="superscript"/>
    </w:rPr>
  </w:style>
  <w:style w:type="paragraph" w:styleId="FootnoteText">
    <w:name w:val="footnote text"/>
    <w:basedOn w:val="BodyText"/>
    <w:link w:val="FootnoteTextChar"/>
    <w:uiPriority w:val="99"/>
    <w:rsid w:val="00A131E1"/>
    <w:rPr>
      <w:sz w:val="20"/>
    </w:rPr>
  </w:style>
  <w:style w:type="character" w:customStyle="1" w:styleId="FootnoteTextChar">
    <w:name w:val="Footnote Text Char"/>
    <w:link w:val="FootnoteText"/>
    <w:uiPriority w:val="99"/>
    <w:rsid w:val="00A131E1"/>
    <w:rPr>
      <w:rFonts w:ascii="Calibri" w:hAnsi="Calibri"/>
      <w:lang w:eastAsia="en-US"/>
    </w:rPr>
  </w:style>
  <w:style w:type="character" w:styleId="HTMLAcronym">
    <w:name w:val="HTML Acronym"/>
    <w:rsid w:val="00A131E1"/>
  </w:style>
  <w:style w:type="paragraph" w:styleId="HTMLAddress">
    <w:name w:val="HTML Address"/>
    <w:basedOn w:val="Normal"/>
    <w:link w:val="HTMLAddressChar"/>
    <w:rsid w:val="00A131E1"/>
    <w:rPr>
      <w:i/>
      <w:iCs/>
    </w:rPr>
  </w:style>
  <w:style w:type="character" w:customStyle="1" w:styleId="HTMLAddressChar">
    <w:name w:val="HTML Address Char"/>
    <w:link w:val="HTMLAddress"/>
    <w:rsid w:val="00A131E1"/>
    <w:rPr>
      <w:i/>
      <w:iCs/>
      <w:sz w:val="22"/>
      <w:szCs w:val="24"/>
    </w:rPr>
  </w:style>
  <w:style w:type="character" w:styleId="HTMLCite">
    <w:name w:val="HTML Cite"/>
    <w:rsid w:val="00A131E1"/>
    <w:rPr>
      <w:i/>
      <w:iCs/>
    </w:rPr>
  </w:style>
  <w:style w:type="character" w:styleId="HTMLCode">
    <w:name w:val="HTML Code"/>
    <w:rsid w:val="00A131E1"/>
    <w:rPr>
      <w:rFonts w:ascii="Consolas" w:hAnsi="Consolas"/>
      <w:sz w:val="20"/>
      <w:szCs w:val="20"/>
    </w:rPr>
  </w:style>
  <w:style w:type="character" w:styleId="HTMLDefinition">
    <w:name w:val="HTML Definition"/>
    <w:rsid w:val="00A131E1"/>
    <w:rPr>
      <w:i/>
      <w:iCs/>
    </w:rPr>
  </w:style>
  <w:style w:type="character" w:styleId="HTMLKeyboard">
    <w:name w:val="HTML Keyboard"/>
    <w:rsid w:val="00A131E1"/>
    <w:rPr>
      <w:rFonts w:ascii="Consolas" w:hAnsi="Consolas"/>
      <w:sz w:val="20"/>
      <w:szCs w:val="20"/>
    </w:rPr>
  </w:style>
  <w:style w:type="paragraph" w:styleId="HTMLPreformatted">
    <w:name w:val="HTML Preformatted"/>
    <w:basedOn w:val="Normal"/>
    <w:link w:val="HTMLPreformattedChar"/>
    <w:rsid w:val="00A131E1"/>
    <w:rPr>
      <w:rFonts w:ascii="Consolas" w:hAnsi="Consolas"/>
      <w:sz w:val="20"/>
      <w:szCs w:val="20"/>
    </w:rPr>
  </w:style>
  <w:style w:type="character" w:customStyle="1" w:styleId="HTMLPreformattedChar">
    <w:name w:val="HTML Preformatted Char"/>
    <w:link w:val="HTMLPreformatted"/>
    <w:rsid w:val="00A131E1"/>
    <w:rPr>
      <w:rFonts w:ascii="Consolas" w:hAnsi="Consolas"/>
    </w:rPr>
  </w:style>
  <w:style w:type="character" w:styleId="HTMLSample">
    <w:name w:val="HTML Sample"/>
    <w:rsid w:val="00A131E1"/>
    <w:rPr>
      <w:rFonts w:ascii="Consolas" w:hAnsi="Consolas"/>
      <w:sz w:val="24"/>
      <w:szCs w:val="24"/>
    </w:rPr>
  </w:style>
  <w:style w:type="character" w:styleId="HTMLTypewriter">
    <w:name w:val="HTML Typewriter"/>
    <w:rsid w:val="00A131E1"/>
    <w:rPr>
      <w:rFonts w:ascii="Consolas" w:hAnsi="Consolas"/>
      <w:sz w:val="20"/>
      <w:szCs w:val="20"/>
    </w:rPr>
  </w:style>
  <w:style w:type="character" w:styleId="HTMLVariable">
    <w:name w:val="HTML Variable"/>
    <w:rsid w:val="00A131E1"/>
    <w:rPr>
      <w:i/>
      <w:iCs/>
    </w:rPr>
  </w:style>
  <w:style w:type="paragraph" w:customStyle="1" w:styleId="IndentedParagraph">
    <w:name w:val="Indented Paragraph"/>
    <w:rsid w:val="00A131E1"/>
    <w:pPr>
      <w:spacing w:after="240" w:line="360" w:lineRule="auto"/>
      <w:ind w:left="567"/>
    </w:pPr>
    <w:rPr>
      <w:sz w:val="22"/>
      <w:szCs w:val="24"/>
    </w:rPr>
  </w:style>
  <w:style w:type="paragraph" w:customStyle="1" w:styleId="IndentedParagraph2">
    <w:name w:val="Indented Paragraph 2"/>
    <w:rsid w:val="00A131E1"/>
    <w:pPr>
      <w:spacing w:after="240" w:line="360" w:lineRule="auto"/>
      <w:ind w:left="1134"/>
    </w:pPr>
    <w:rPr>
      <w:sz w:val="22"/>
      <w:szCs w:val="24"/>
      <w:lang w:val="en-US"/>
    </w:rPr>
  </w:style>
  <w:style w:type="paragraph" w:customStyle="1" w:styleId="IndentedParagraph3">
    <w:name w:val="Indented Paragraph 3"/>
    <w:next w:val="Normal"/>
    <w:rsid w:val="00A131E1"/>
    <w:pPr>
      <w:spacing w:after="240" w:line="360" w:lineRule="auto"/>
      <w:ind w:left="1701"/>
    </w:pPr>
    <w:rPr>
      <w:sz w:val="22"/>
      <w:szCs w:val="24"/>
      <w:lang w:val="en-US"/>
    </w:rPr>
  </w:style>
  <w:style w:type="paragraph" w:styleId="Index1">
    <w:name w:val="index 1"/>
    <w:basedOn w:val="Normal"/>
    <w:next w:val="Normal"/>
    <w:rsid w:val="00A131E1"/>
    <w:pPr>
      <w:ind w:left="220" w:hanging="220"/>
    </w:pPr>
  </w:style>
  <w:style w:type="paragraph" w:styleId="Index2">
    <w:name w:val="index 2"/>
    <w:basedOn w:val="Normal"/>
    <w:next w:val="Normal"/>
    <w:rsid w:val="00A131E1"/>
    <w:pPr>
      <w:ind w:left="440" w:hanging="220"/>
    </w:pPr>
  </w:style>
  <w:style w:type="paragraph" w:styleId="Index3">
    <w:name w:val="index 3"/>
    <w:basedOn w:val="Normal"/>
    <w:next w:val="Normal"/>
    <w:rsid w:val="00A131E1"/>
    <w:pPr>
      <w:ind w:left="660" w:hanging="220"/>
    </w:pPr>
  </w:style>
  <w:style w:type="paragraph" w:styleId="Index4">
    <w:name w:val="index 4"/>
    <w:basedOn w:val="Normal"/>
    <w:next w:val="Normal"/>
    <w:rsid w:val="00A131E1"/>
    <w:pPr>
      <w:ind w:left="880" w:hanging="220"/>
    </w:pPr>
  </w:style>
  <w:style w:type="paragraph" w:styleId="Index5">
    <w:name w:val="index 5"/>
    <w:basedOn w:val="Normal"/>
    <w:next w:val="Normal"/>
    <w:rsid w:val="00A131E1"/>
    <w:pPr>
      <w:ind w:left="1100" w:hanging="220"/>
    </w:pPr>
  </w:style>
  <w:style w:type="paragraph" w:styleId="Index6">
    <w:name w:val="index 6"/>
    <w:basedOn w:val="Normal"/>
    <w:next w:val="Normal"/>
    <w:rsid w:val="00A131E1"/>
    <w:pPr>
      <w:ind w:left="1320" w:hanging="220"/>
    </w:pPr>
  </w:style>
  <w:style w:type="paragraph" w:styleId="Index7">
    <w:name w:val="index 7"/>
    <w:basedOn w:val="Normal"/>
    <w:next w:val="Normal"/>
    <w:rsid w:val="00A131E1"/>
    <w:pPr>
      <w:ind w:left="1540" w:hanging="220"/>
    </w:pPr>
  </w:style>
  <w:style w:type="paragraph" w:styleId="Index8">
    <w:name w:val="index 8"/>
    <w:basedOn w:val="Normal"/>
    <w:next w:val="Normal"/>
    <w:rsid w:val="00A131E1"/>
    <w:pPr>
      <w:ind w:left="1760" w:hanging="220"/>
    </w:pPr>
  </w:style>
  <w:style w:type="paragraph" w:styleId="Index9">
    <w:name w:val="index 9"/>
    <w:basedOn w:val="Normal"/>
    <w:next w:val="Normal"/>
    <w:rsid w:val="00A131E1"/>
    <w:pPr>
      <w:ind w:left="1980" w:hanging="220"/>
    </w:pPr>
  </w:style>
  <w:style w:type="paragraph" w:styleId="IndexHeading">
    <w:name w:val="index heading"/>
    <w:basedOn w:val="Normal"/>
    <w:next w:val="Index1"/>
    <w:rsid w:val="00A131E1"/>
    <w:rPr>
      <w:rFonts w:ascii="Cambria" w:hAnsi="Cambria"/>
      <w:b/>
      <w:bCs/>
    </w:rPr>
  </w:style>
  <w:style w:type="character" w:styleId="IntenseEmphasis">
    <w:name w:val="Intense Emphasis"/>
    <w:uiPriority w:val="21"/>
    <w:qFormat/>
    <w:rsid w:val="00A131E1"/>
    <w:rPr>
      <w:b/>
      <w:bCs/>
      <w:i/>
      <w:iCs/>
      <w:color w:val="C4D600"/>
    </w:rPr>
  </w:style>
  <w:style w:type="paragraph" w:styleId="IntenseQuote">
    <w:name w:val="Intense Quote"/>
    <w:basedOn w:val="Normal"/>
    <w:next w:val="Normal"/>
    <w:link w:val="IntenseQuoteChar"/>
    <w:uiPriority w:val="30"/>
    <w:qFormat/>
    <w:rsid w:val="00A131E1"/>
    <w:pPr>
      <w:pBdr>
        <w:bottom w:val="single" w:sz="4" w:space="4" w:color="C4D600"/>
      </w:pBdr>
      <w:spacing w:before="200" w:after="280"/>
      <w:ind w:left="936" w:right="936"/>
    </w:pPr>
    <w:rPr>
      <w:b/>
      <w:bCs/>
      <w:i/>
      <w:iCs/>
      <w:color w:val="C4D600"/>
    </w:rPr>
  </w:style>
  <w:style w:type="character" w:customStyle="1" w:styleId="IntenseQuoteChar">
    <w:name w:val="Intense Quote Char"/>
    <w:link w:val="IntenseQuote"/>
    <w:uiPriority w:val="30"/>
    <w:rsid w:val="00A131E1"/>
    <w:rPr>
      <w:b/>
      <w:bCs/>
      <w:i/>
      <w:iCs/>
      <w:color w:val="C4D600"/>
      <w:sz w:val="22"/>
      <w:szCs w:val="24"/>
    </w:rPr>
  </w:style>
  <w:style w:type="character" w:styleId="IntenseReference">
    <w:name w:val="Intense Reference"/>
    <w:uiPriority w:val="32"/>
    <w:qFormat/>
    <w:rsid w:val="00A131E1"/>
    <w:rPr>
      <w:b/>
      <w:bCs/>
      <w:smallCaps/>
      <w:color w:val="C0504D"/>
      <w:spacing w:val="5"/>
      <w:u w:val="single"/>
    </w:rPr>
  </w:style>
  <w:style w:type="paragraph" w:customStyle="1" w:styleId="LandscapeA3Footer">
    <w:name w:val="Landscape A3 Footer"/>
    <w:rsid w:val="00A131E1"/>
    <w:pPr>
      <w:tabs>
        <w:tab w:val="right" w:pos="21599"/>
      </w:tabs>
      <w:ind w:right="34"/>
    </w:pPr>
    <w:rPr>
      <w:rFonts w:ascii="Calibri" w:hAnsi="Calibri"/>
      <w:sz w:val="18"/>
      <w:szCs w:val="24"/>
    </w:rPr>
  </w:style>
  <w:style w:type="paragraph" w:customStyle="1" w:styleId="LandscapeA4Header">
    <w:name w:val="Landscape A4 Header"/>
    <w:rsid w:val="00A131E1"/>
    <w:pPr>
      <w:pBdr>
        <w:bottom w:val="single" w:sz="2" w:space="9" w:color="889191"/>
      </w:pBdr>
      <w:tabs>
        <w:tab w:val="right" w:pos="13750"/>
      </w:tabs>
    </w:pPr>
    <w:rPr>
      <w:rFonts w:ascii="Calibri" w:hAnsi="Calibri"/>
      <w:noProof/>
      <w:color w:val="4C5A52"/>
      <w:sz w:val="18"/>
      <w:szCs w:val="24"/>
    </w:rPr>
  </w:style>
  <w:style w:type="paragraph" w:customStyle="1" w:styleId="LandscapeA3Header">
    <w:name w:val="Landscape A3 Header"/>
    <w:basedOn w:val="LandscapeA4Header"/>
    <w:rsid w:val="00A131E1"/>
    <w:pPr>
      <w:pBdr>
        <w:bottom w:val="single" w:sz="2" w:space="8" w:color="889191"/>
      </w:pBdr>
      <w:tabs>
        <w:tab w:val="clear" w:pos="13750"/>
        <w:tab w:val="right" w:pos="20696"/>
        <w:tab w:val="right" w:pos="21670"/>
      </w:tabs>
    </w:pPr>
  </w:style>
  <w:style w:type="paragraph" w:customStyle="1" w:styleId="LandscapeA4Footer">
    <w:name w:val="Landscape A4 Footer"/>
    <w:rsid w:val="00A131E1"/>
    <w:pPr>
      <w:tabs>
        <w:tab w:val="right" w:pos="14630"/>
      </w:tabs>
    </w:pPr>
    <w:rPr>
      <w:rFonts w:ascii="Calibri" w:hAnsi="Calibri"/>
      <w:sz w:val="18"/>
      <w:szCs w:val="24"/>
    </w:rPr>
  </w:style>
  <w:style w:type="paragraph" w:customStyle="1" w:styleId="Lettered">
    <w:name w:val="Lettered"/>
    <w:rsid w:val="00A131E1"/>
    <w:pPr>
      <w:numPr>
        <w:numId w:val="6"/>
      </w:numPr>
      <w:spacing w:after="120" w:line="360" w:lineRule="auto"/>
    </w:pPr>
    <w:rPr>
      <w:rFonts w:ascii="Arial" w:hAnsi="Arial"/>
      <w:sz w:val="22"/>
      <w:szCs w:val="24"/>
    </w:rPr>
  </w:style>
  <w:style w:type="table" w:styleId="LightGrid">
    <w:name w:val="Light Grid"/>
    <w:basedOn w:val="TableNormal"/>
    <w:uiPriority w:val="62"/>
    <w:rsid w:val="00A131E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A131E1"/>
    <w:tblPr>
      <w:tblStyleRowBandSize w:val="1"/>
      <w:tblStyleColBandSize w:val="1"/>
      <w:tblBorders>
        <w:top w:val="single" w:sz="8" w:space="0" w:color="C4D600"/>
        <w:left w:val="single" w:sz="8" w:space="0" w:color="C4D600"/>
        <w:bottom w:val="single" w:sz="8" w:space="0" w:color="C4D600"/>
        <w:right w:val="single" w:sz="8" w:space="0" w:color="C4D600"/>
        <w:insideH w:val="single" w:sz="8" w:space="0" w:color="C4D600"/>
        <w:insideV w:val="single" w:sz="8" w:space="0" w:color="C4D600"/>
      </w:tblBorders>
    </w:tblPr>
    <w:tblStylePr w:type="firstRow">
      <w:pPr>
        <w:spacing w:before="0" w:after="0" w:line="240" w:lineRule="auto"/>
      </w:pPr>
      <w:rPr>
        <w:rFonts w:ascii="Cambria" w:eastAsia="Times New Roman" w:hAnsi="Cambria" w:cs="Times New Roman"/>
        <w:b/>
        <w:bCs/>
      </w:rPr>
      <w:tblPr/>
      <w:tcPr>
        <w:tcBorders>
          <w:top w:val="single" w:sz="8" w:space="0" w:color="C4D600"/>
          <w:left w:val="single" w:sz="8" w:space="0" w:color="C4D600"/>
          <w:bottom w:val="single" w:sz="18" w:space="0" w:color="C4D600"/>
          <w:right w:val="single" w:sz="8" w:space="0" w:color="C4D600"/>
          <w:insideH w:val="nil"/>
          <w:insideV w:val="single" w:sz="8" w:space="0" w:color="C4D600"/>
        </w:tcBorders>
      </w:tcPr>
    </w:tblStylePr>
    <w:tblStylePr w:type="lastRow">
      <w:pPr>
        <w:spacing w:before="0" w:after="0" w:line="240" w:lineRule="auto"/>
      </w:pPr>
      <w:rPr>
        <w:rFonts w:ascii="Cambria" w:eastAsia="Times New Roman" w:hAnsi="Cambria" w:cs="Times New Roman"/>
        <w:b/>
        <w:bCs/>
      </w:rPr>
      <w:tblPr/>
      <w:tcPr>
        <w:tcBorders>
          <w:top w:val="double" w:sz="6" w:space="0" w:color="C4D600"/>
          <w:left w:val="single" w:sz="8" w:space="0" w:color="C4D600"/>
          <w:bottom w:val="single" w:sz="8" w:space="0" w:color="C4D600"/>
          <w:right w:val="single" w:sz="8" w:space="0" w:color="C4D600"/>
          <w:insideH w:val="nil"/>
          <w:insideV w:val="single" w:sz="8" w:space="0" w:color="C4D6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4D600"/>
          <w:left w:val="single" w:sz="8" w:space="0" w:color="C4D600"/>
          <w:bottom w:val="single" w:sz="8" w:space="0" w:color="C4D600"/>
          <w:right w:val="single" w:sz="8" w:space="0" w:color="C4D600"/>
        </w:tcBorders>
      </w:tcPr>
    </w:tblStylePr>
    <w:tblStylePr w:type="band1Vert">
      <w:tblPr/>
      <w:tcPr>
        <w:tcBorders>
          <w:top w:val="single" w:sz="8" w:space="0" w:color="C4D600"/>
          <w:left w:val="single" w:sz="8" w:space="0" w:color="C4D600"/>
          <w:bottom w:val="single" w:sz="8" w:space="0" w:color="C4D600"/>
          <w:right w:val="single" w:sz="8" w:space="0" w:color="C4D600"/>
        </w:tcBorders>
        <w:shd w:val="clear" w:color="auto" w:fill="F8FFB5"/>
      </w:tcPr>
    </w:tblStylePr>
    <w:tblStylePr w:type="band1Horz">
      <w:tblPr/>
      <w:tcPr>
        <w:tcBorders>
          <w:top w:val="single" w:sz="8" w:space="0" w:color="C4D600"/>
          <w:left w:val="single" w:sz="8" w:space="0" w:color="C4D600"/>
          <w:bottom w:val="single" w:sz="8" w:space="0" w:color="C4D600"/>
          <w:right w:val="single" w:sz="8" w:space="0" w:color="C4D600"/>
          <w:insideV w:val="single" w:sz="8" w:space="0" w:color="C4D600"/>
        </w:tcBorders>
        <w:shd w:val="clear" w:color="auto" w:fill="F8FFB5"/>
      </w:tcPr>
    </w:tblStylePr>
    <w:tblStylePr w:type="band2Horz">
      <w:tblPr/>
      <w:tcPr>
        <w:tcBorders>
          <w:top w:val="single" w:sz="8" w:space="0" w:color="C4D600"/>
          <w:left w:val="single" w:sz="8" w:space="0" w:color="C4D600"/>
          <w:bottom w:val="single" w:sz="8" w:space="0" w:color="C4D600"/>
          <w:right w:val="single" w:sz="8" w:space="0" w:color="C4D600"/>
          <w:insideV w:val="single" w:sz="8" w:space="0" w:color="C4D600"/>
        </w:tcBorders>
      </w:tcPr>
    </w:tblStylePr>
  </w:style>
  <w:style w:type="table" w:styleId="LightGrid-Accent2">
    <w:name w:val="Light Grid Accent 2"/>
    <w:basedOn w:val="TableNormal"/>
    <w:uiPriority w:val="62"/>
    <w:rsid w:val="00A131E1"/>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A131E1"/>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A131E1"/>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A131E1"/>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A131E1"/>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rsid w:val="00A131E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131E1"/>
    <w:tblPr>
      <w:tblStyleRowBandSize w:val="1"/>
      <w:tblStyleColBandSize w:val="1"/>
      <w:tblBorders>
        <w:top w:val="single" w:sz="8" w:space="0" w:color="C4D600"/>
        <w:left w:val="single" w:sz="8" w:space="0" w:color="C4D600"/>
        <w:bottom w:val="single" w:sz="8" w:space="0" w:color="C4D600"/>
        <w:right w:val="single" w:sz="8" w:space="0" w:color="C4D600"/>
      </w:tblBorders>
    </w:tblPr>
    <w:tblStylePr w:type="firstRow">
      <w:pPr>
        <w:spacing w:before="0" w:after="0" w:line="240" w:lineRule="auto"/>
      </w:pPr>
      <w:rPr>
        <w:b/>
        <w:bCs/>
        <w:color w:val="FFFFFF"/>
      </w:rPr>
      <w:tblPr/>
      <w:tcPr>
        <w:shd w:val="clear" w:color="auto" w:fill="C4D600"/>
      </w:tcPr>
    </w:tblStylePr>
    <w:tblStylePr w:type="lastRow">
      <w:pPr>
        <w:spacing w:before="0" w:after="0" w:line="240" w:lineRule="auto"/>
      </w:pPr>
      <w:rPr>
        <w:b/>
        <w:bCs/>
      </w:rPr>
      <w:tblPr/>
      <w:tcPr>
        <w:tcBorders>
          <w:top w:val="double" w:sz="6" w:space="0" w:color="C4D600"/>
          <w:left w:val="single" w:sz="8" w:space="0" w:color="C4D600"/>
          <w:bottom w:val="single" w:sz="8" w:space="0" w:color="C4D600"/>
          <w:right w:val="single" w:sz="8" w:space="0" w:color="C4D600"/>
        </w:tcBorders>
      </w:tcPr>
    </w:tblStylePr>
    <w:tblStylePr w:type="firstCol">
      <w:rPr>
        <w:b/>
        <w:bCs/>
      </w:rPr>
    </w:tblStylePr>
    <w:tblStylePr w:type="lastCol">
      <w:rPr>
        <w:b/>
        <w:bCs/>
      </w:rPr>
    </w:tblStylePr>
    <w:tblStylePr w:type="band1Vert">
      <w:tblPr/>
      <w:tcPr>
        <w:tcBorders>
          <w:top w:val="single" w:sz="8" w:space="0" w:color="C4D600"/>
          <w:left w:val="single" w:sz="8" w:space="0" w:color="C4D600"/>
          <w:bottom w:val="single" w:sz="8" w:space="0" w:color="C4D600"/>
          <w:right w:val="single" w:sz="8" w:space="0" w:color="C4D600"/>
        </w:tcBorders>
      </w:tcPr>
    </w:tblStylePr>
    <w:tblStylePr w:type="band1Horz">
      <w:tblPr/>
      <w:tcPr>
        <w:tcBorders>
          <w:top w:val="single" w:sz="8" w:space="0" w:color="C4D600"/>
          <w:left w:val="single" w:sz="8" w:space="0" w:color="C4D600"/>
          <w:bottom w:val="single" w:sz="8" w:space="0" w:color="C4D600"/>
          <w:right w:val="single" w:sz="8" w:space="0" w:color="C4D600"/>
        </w:tcBorders>
      </w:tcPr>
    </w:tblStylePr>
  </w:style>
  <w:style w:type="table" w:styleId="LightList-Accent2">
    <w:name w:val="Light List Accent 2"/>
    <w:basedOn w:val="TableNormal"/>
    <w:uiPriority w:val="61"/>
    <w:rsid w:val="00A131E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A131E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A131E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A131E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A131E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sid w:val="00A131E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131E1"/>
    <w:rPr>
      <w:color w:val="92A000"/>
    </w:rPr>
    <w:tblPr>
      <w:tblStyleRowBandSize w:val="1"/>
      <w:tblStyleColBandSize w:val="1"/>
      <w:tblBorders>
        <w:top w:val="single" w:sz="8" w:space="0" w:color="C4D600"/>
        <w:bottom w:val="single" w:sz="8" w:space="0" w:color="C4D600"/>
      </w:tblBorders>
    </w:tblPr>
    <w:tblStylePr w:type="firstRow">
      <w:pPr>
        <w:spacing w:before="0" w:after="0" w:line="240" w:lineRule="auto"/>
      </w:pPr>
      <w:rPr>
        <w:b/>
        <w:bCs/>
      </w:rPr>
      <w:tblPr/>
      <w:tcPr>
        <w:tcBorders>
          <w:top w:val="single" w:sz="8" w:space="0" w:color="C4D600"/>
          <w:left w:val="nil"/>
          <w:bottom w:val="single" w:sz="8" w:space="0" w:color="C4D600"/>
          <w:right w:val="nil"/>
          <w:insideH w:val="nil"/>
          <w:insideV w:val="nil"/>
        </w:tcBorders>
      </w:tcPr>
    </w:tblStylePr>
    <w:tblStylePr w:type="lastRow">
      <w:pPr>
        <w:spacing w:before="0" w:after="0" w:line="240" w:lineRule="auto"/>
      </w:pPr>
      <w:rPr>
        <w:b/>
        <w:bCs/>
      </w:rPr>
      <w:tblPr/>
      <w:tcPr>
        <w:tcBorders>
          <w:top w:val="single" w:sz="8" w:space="0" w:color="C4D600"/>
          <w:left w:val="nil"/>
          <w:bottom w:val="single" w:sz="8" w:space="0" w:color="C4D6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cPr>
    </w:tblStylePr>
    <w:tblStylePr w:type="band1Horz">
      <w:tblPr/>
      <w:tcPr>
        <w:tcBorders>
          <w:left w:val="nil"/>
          <w:right w:val="nil"/>
          <w:insideH w:val="nil"/>
          <w:insideV w:val="nil"/>
        </w:tcBorders>
        <w:shd w:val="clear" w:color="auto" w:fill="F8FFB5"/>
      </w:tcPr>
    </w:tblStylePr>
  </w:style>
  <w:style w:type="table" w:styleId="LightShading-Accent2">
    <w:name w:val="Light Shading Accent 2"/>
    <w:basedOn w:val="TableNormal"/>
    <w:uiPriority w:val="60"/>
    <w:rsid w:val="00A131E1"/>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131E1"/>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A131E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131E1"/>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A131E1"/>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rsid w:val="00A131E1"/>
  </w:style>
  <w:style w:type="paragraph" w:styleId="List">
    <w:name w:val="List"/>
    <w:basedOn w:val="Normal"/>
    <w:rsid w:val="00A131E1"/>
    <w:pPr>
      <w:ind w:left="360" w:hanging="360"/>
      <w:contextualSpacing/>
    </w:pPr>
  </w:style>
  <w:style w:type="paragraph" w:styleId="List2">
    <w:name w:val="List 2"/>
    <w:basedOn w:val="Normal"/>
    <w:rsid w:val="00A131E1"/>
    <w:pPr>
      <w:ind w:left="720" w:hanging="360"/>
      <w:contextualSpacing/>
    </w:pPr>
  </w:style>
  <w:style w:type="paragraph" w:styleId="List3">
    <w:name w:val="List 3"/>
    <w:basedOn w:val="Normal"/>
    <w:rsid w:val="00A131E1"/>
    <w:pPr>
      <w:ind w:left="1080" w:hanging="360"/>
      <w:contextualSpacing/>
    </w:pPr>
  </w:style>
  <w:style w:type="paragraph" w:styleId="List4">
    <w:name w:val="List 4"/>
    <w:basedOn w:val="Normal"/>
    <w:rsid w:val="00A131E1"/>
    <w:pPr>
      <w:ind w:left="1440" w:hanging="360"/>
      <w:contextualSpacing/>
    </w:pPr>
  </w:style>
  <w:style w:type="paragraph" w:styleId="List5">
    <w:name w:val="List 5"/>
    <w:basedOn w:val="Normal"/>
    <w:rsid w:val="00A131E1"/>
    <w:pPr>
      <w:ind w:left="1800" w:hanging="360"/>
      <w:contextualSpacing/>
    </w:pPr>
  </w:style>
  <w:style w:type="paragraph" w:styleId="ListBullet5">
    <w:name w:val="List Bullet 5"/>
    <w:basedOn w:val="Normal"/>
    <w:rsid w:val="00A131E1"/>
    <w:pPr>
      <w:numPr>
        <w:numId w:val="10"/>
      </w:numPr>
      <w:contextualSpacing/>
    </w:pPr>
  </w:style>
  <w:style w:type="paragraph" w:styleId="ListContinue">
    <w:name w:val="List Continue"/>
    <w:basedOn w:val="Normal"/>
    <w:rsid w:val="00A131E1"/>
    <w:pPr>
      <w:spacing w:after="120"/>
      <w:ind w:left="360"/>
      <w:contextualSpacing/>
    </w:pPr>
  </w:style>
  <w:style w:type="paragraph" w:styleId="ListContinue2">
    <w:name w:val="List Continue 2"/>
    <w:basedOn w:val="Normal"/>
    <w:rsid w:val="00A131E1"/>
    <w:pPr>
      <w:spacing w:after="120"/>
      <w:ind w:left="720"/>
      <w:contextualSpacing/>
    </w:pPr>
  </w:style>
  <w:style w:type="paragraph" w:styleId="ListContinue3">
    <w:name w:val="List Continue 3"/>
    <w:basedOn w:val="Normal"/>
    <w:rsid w:val="00A131E1"/>
    <w:pPr>
      <w:spacing w:after="120"/>
      <w:ind w:left="1080"/>
      <w:contextualSpacing/>
    </w:pPr>
  </w:style>
  <w:style w:type="paragraph" w:styleId="ListContinue4">
    <w:name w:val="List Continue 4"/>
    <w:basedOn w:val="Normal"/>
    <w:rsid w:val="00A131E1"/>
    <w:pPr>
      <w:spacing w:after="120"/>
      <w:ind w:left="1440"/>
      <w:contextualSpacing/>
    </w:pPr>
  </w:style>
  <w:style w:type="paragraph" w:styleId="ListContinue5">
    <w:name w:val="List Continue 5"/>
    <w:basedOn w:val="Normal"/>
    <w:rsid w:val="00A131E1"/>
    <w:pPr>
      <w:spacing w:after="120"/>
      <w:ind w:left="1800"/>
      <w:contextualSpacing/>
    </w:pPr>
  </w:style>
  <w:style w:type="paragraph" w:styleId="ListNumber4">
    <w:name w:val="List Number 4"/>
    <w:basedOn w:val="Normal"/>
    <w:rsid w:val="00A131E1"/>
    <w:pPr>
      <w:numPr>
        <w:numId w:val="12"/>
      </w:numPr>
      <w:contextualSpacing/>
    </w:pPr>
  </w:style>
  <w:style w:type="paragraph" w:styleId="ListNumber5">
    <w:name w:val="List Number 5"/>
    <w:basedOn w:val="Normal"/>
    <w:rsid w:val="00A131E1"/>
    <w:pPr>
      <w:numPr>
        <w:numId w:val="13"/>
      </w:numPr>
      <w:contextualSpacing/>
    </w:pPr>
  </w:style>
  <w:style w:type="paragraph" w:styleId="ListParagraph">
    <w:name w:val="List Paragraph"/>
    <w:basedOn w:val="Normal"/>
    <w:uiPriority w:val="34"/>
    <w:qFormat/>
    <w:rsid w:val="00A131E1"/>
    <w:pPr>
      <w:ind w:left="720"/>
      <w:contextualSpacing/>
    </w:pPr>
  </w:style>
  <w:style w:type="paragraph" w:styleId="MacroText">
    <w:name w:val="macro"/>
    <w:link w:val="MacroTextChar"/>
    <w:rsid w:val="00A131E1"/>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link w:val="MacroText"/>
    <w:rsid w:val="00A131E1"/>
    <w:rPr>
      <w:rFonts w:ascii="Consolas" w:hAnsi="Consolas"/>
    </w:rPr>
  </w:style>
  <w:style w:type="table" w:styleId="MediumGrid1">
    <w:name w:val="Medium Grid 1"/>
    <w:basedOn w:val="TableNormal"/>
    <w:uiPriority w:val="67"/>
    <w:rsid w:val="00A131E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131E1"/>
    <w:tblPr>
      <w:tblStyleRowBandSize w:val="1"/>
      <w:tblStyleColBandSize w:val="1"/>
      <w:tblBorders>
        <w:top w:val="single" w:sz="8" w:space="0" w:color="EBFF21"/>
        <w:left w:val="single" w:sz="8" w:space="0" w:color="EBFF21"/>
        <w:bottom w:val="single" w:sz="8" w:space="0" w:color="EBFF21"/>
        <w:right w:val="single" w:sz="8" w:space="0" w:color="EBFF21"/>
        <w:insideH w:val="single" w:sz="8" w:space="0" w:color="EBFF21"/>
        <w:insideV w:val="single" w:sz="8" w:space="0" w:color="EBFF21"/>
      </w:tblBorders>
    </w:tblPr>
    <w:tcPr>
      <w:shd w:val="clear" w:color="auto" w:fill="F8FFB5"/>
    </w:tcPr>
    <w:tblStylePr w:type="firstRow">
      <w:rPr>
        <w:b/>
        <w:bCs/>
      </w:rPr>
    </w:tblStylePr>
    <w:tblStylePr w:type="lastRow">
      <w:rPr>
        <w:b/>
        <w:bCs/>
      </w:rPr>
      <w:tblPr/>
      <w:tcPr>
        <w:tcBorders>
          <w:top w:val="single" w:sz="18" w:space="0" w:color="EBFF21"/>
        </w:tcBorders>
      </w:tcPr>
    </w:tblStylePr>
    <w:tblStylePr w:type="firstCol">
      <w:rPr>
        <w:b/>
        <w:bCs/>
      </w:rPr>
    </w:tblStylePr>
    <w:tblStylePr w:type="lastCol">
      <w:rPr>
        <w:b/>
        <w:bCs/>
      </w:rPr>
    </w:tblStylePr>
    <w:tblStylePr w:type="band1Vert">
      <w:tblPr/>
      <w:tcPr>
        <w:shd w:val="clear" w:color="auto" w:fill="F2FF6B"/>
      </w:tcPr>
    </w:tblStylePr>
    <w:tblStylePr w:type="band1Horz">
      <w:tblPr/>
      <w:tcPr>
        <w:shd w:val="clear" w:color="auto" w:fill="F2FF6B"/>
      </w:tcPr>
    </w:tblStylePr>
  </w:style>
  <w:style w:type="table" w:styleId="MediumGrid1-Accent2">
    <w:name w:val="Medium Grid 1 Accent 2"/>
    <w:basedOn w:val="TableNormal"/>
    <w:uiPriority w:val="67"/>
    <w:rsid w:val="00A131E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A131E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A131E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A131E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A131E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A131E1"/>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131E1"/>
    <w:rPr>
      <w:rFonts w:ascii="Cambria" w:hAnsi="Cambria"/>
      <w:color w:val="000000"/>
    </w:rPr>
    <w:tblPr>
      <w:tblStyleRowBandSize w:val="1"/>
      <w:tblStyleColBandSize w:val="1"/>
      <w:tblBorders>
        <w:top w:val="single" w:sz="8" w:space="0" w:color="C4D600"/>
        <w:left w:val="single" w:sz="8" w:space="0" w:color="C4D600"/>
        <w:bottom w:val="single" w:sz="8" w:space="0" w:color="C4D600"/>
        <w:right w:val="single" w:sz="8" w:space="0" w:color="C4D600"/>
        <w:insideH w:val="single" w:sz="8" w:space="0" w:color="C4D600"/>
        <w:insideV w:val="single" w:sz="8" w:space="0" w:color="C4D600"/>
      </w:tblBorders>
    </w:tblPr>
    <w:tcPr>
      <w:shd w:val="clear" w:color="auto" w:fill="F8FFB5"/>
    </w:tcPr>
    <w:tblStylePr w:type="firstRow">
      <w:rPr>
        <w:b/>
        <w:bCs/>
        <w:color w:val="000000"/>
      </w:rPr>
      <w:tblPr/>
      <w:tcPr>
        <w:shd w:val="clear" w:color="auto" w:fill="FCFFE1"/>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9FFC3"/>
      </w:tcPr>
    </w:tblStylePr>
    <w:tblStylePr w:type="band1Vert">
      <w:tblPr/>
      <w:tcPr>
        <w:shd w:val="clear" w:color="auto" w:fill="F2FF6B"/>
      </w:tcPr>
    </w:tblStylePr>
    <w:tblStylePr w:type="band1Horz">
      <w:tblPr/>
      <w:tcPr>
        <w:tcBorders>
          <w:insideH w:val="single" w:sz="6" w:space="0" w:color="C4D600"/>
          <w:insideV w:val="single" w:sz="6" w:space="0" w:color="C4D600"/>
        </w:tcBorders>
        <w:shd w:val="clear" w:color="auto" w:fill="F2FF6B"/>
      </w:tcPr>
    </w:tblStylePr>
    <w:tblStylePr w:type="nwCell">
      <w:tblPr/>
      <w:tcPr>
        <w:shd w:val="clear" w:color="auto" w:fill="FFFFFF"/>
      </w:tcPr>
    </w:tblStylePr>
  </w:style>
  <w:style w:type="table" w:styleId="MediumGrid2-Accent2">
    <w:name w:val="Medium Grid 2 Accent 2"/>
    <w:basedOn w:val="TableNormal"/>
    <w:uiPriority w:val="68"/>
    <w:rsid w:val="00A131E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A131E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A131E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A131E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A131E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A131E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131E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8FFB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4D6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4D6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4D6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4D6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2FF6B"/>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2FF6B"/>
      </w:tcPr>
    </w:tblStylePr>
  </w:style>
  <w:style w:type="table" w:styleId="MediumGrid3-Accent2">
    <w:name w:val="Medium Grid 3 Accent 2"/>
    <w:basedOn w:val="TableNormal"/>
    <w:uiPriority w:val="69"/>
    <w:rsid w:val="00A131E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A131E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A131E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A131E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A131E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sid w:val="00A131E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3F4444"/>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131E1"/>
    <w:rPr>
      <w:color w:val="000000"/>
    </w:rPr>
    <w:tblPr>
      <w:tblStyleRowBandSize w:val="1"/>
      <w:tblStyleColBandSize w:val="1"/>
      <w:tblBorders>
        <w:top w:val="single" w:sz="8" w:space="0" w:color="C4D600"/>
        <w:bottom w:val="single" w:sz="8" w:space="0" w:color="C4D600"/>
      </w:tblBorders>
    </w:tblPr>
    <w:tblStylePr w:type="firstRow">
      <w:rPr>
        <w:rFonts w:ascii="Cambria" w:eastAsia="Times New Roman" w:hAnsi="Cambria" w:cs="Times New Roman"/>
      </w:rPr>
      <w:tblPr/>
      <w:tcPr>
        <w:tcBorders>
          <w:top w:val="nil"/>
          <w:bottom w:val="single" w:sz="8" w:space="0" w:color="C4D600"/>
        </w:tcBorders>
      </w:tcPr>
    </w:tblStylePr>
    <w:tblStylePr w:type="lastRow">
      <w:rPr>
        <w:b/>
        <w:bCs/>
        <w:color w:val="3F4444"/>
      </w:rPr>
      <w:tblPr/>
      <w:tcPr>
        <w:tcBorders>
          <w:top w:val="single" w:sz="8" w:space="0" w:color="C4D600"/>
          <w:bottom w:val="single" w:sz="8" w:space="0" w:color="C4D600"/>
        </w:tcBorders>
      </w:tcPr>
    </w:tblStylePr>
    <w:tblStylePr w:type="firstCol">
      <w:rPr>
        <w:b/>
        <w:bCs/>
      </w:rPr>
    </w:tblStylePr>
    <w:tblStylePr w:type="lastCol">
      <w:rPr>
        <w:b/>
        <w:bCs/>
      </w:rPr>
      <w:tblPr/>
      <w:tcPr>
        <w:tcBorders>
          <w:top w:val="single" w:sz="8" w:space="0" w:color="C4D600"/>
          <w:bottom w:val="single" w:sz="8" w:space="0" w:color="C4D600"/>
        </w:tcBorders>
      </w:tcPr>
    </w:tblStylePr>
    <w:tblStylePr w:type="band1Vert">
      <w:tblPr/>
      <w:tcPr>
        <w:shd w:val="clear" w:color="auto" w:fill="F8FFB5"/>
      </w:tcPr>
    </w:tblStylePr>
    <w:tblStylePr w:type="band1Horz">
      <w:tblPr/>
      <w:tcPr>
        <w:shd w:val="clear" w:color="auto" w:fill="F8FFB5"/>
      </w:tcPr>
    </w:tblStylePr>
  </w:style>
  <w:style w:type="table" w:styleId="MediumList1-Accent2">
    <w:name w:val="Medium List 1 Accent 2"/>
    <w:basedOn w:val="TableNormal"/>
    <w:uiPriority w:val="65"/>
    <w:rsid w:val="00A131E1"/>
    <w:rPr>
      <w:color w:val="000000"/>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3F4444"/>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A131E1"/>
    <w:rPr>
      <w:color w:val="000000"/>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3F4444"/>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A131E1"/>
    <w:rPr>
      <w:color w:val="000000"/>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3F4444"/>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A131E1"/>
    <w:rPr>
      <w:color w:val="000000"/>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3F4444"/>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A131E1"/>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3F4444"/>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A131E1"/>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131E1"/>
    <w:rPr>
      <w:rFonts w:ascii="Cambria" w:hAnsi="Cambria"/>
      <w:color w:val="000000"/>
    </w:rPr>
    <w:tblPr>
      <w:tblStyleRowBandSize w:val="1"/>
      <w:tblStyleColBandSize w:val="1"/>
      <w:tblBorders>
        <w:top w:val="single" w:sz="8" w:space="0" w:color="C4D600"/>
        <w:left w:val="single" w:sz="8" w:space="0" w:color="C4D600"/>
        <w:bottom w:val="single" w:sz="8" w:space="0" w:color="C4D600"/>
        <w:right w:val="single" w:sz="8" w:space="0" w:color="C4D600"/>
      </w:tblBorders>
    </w:tblPr>
    <w:tblStylePr w:type="firstRow">
      <w:rPr>
        <w:sz w:val="24"/>
        <w:szCs w:val="24"/>
      </w:rPr>
      <w:tblPr/>
      <w:tcPr>
        <w:tcBorders>
          <w:top w:val="nil"/>
          <w:left w:val="nil"/>
          <w:bottom w:val="single" w:sz="24" w:space="0" w:color="C4D600"/>
          <w:right w:val="nil"/>
          <w:insideH w:val="nil"/>
          <w:insideV w:val="nil"/>
        </w:tcBorders>
        <w:shd w:val="clear" w:color="auto" w:fill="FFFFFF"/>
      </w:tcPr>
    </w:tblStylePr>
    <w:tblStylePr w:type="lastRow">
      <w:tblPr/>
      <w:tcPr>
        <w:tcBorders>
          <w:top w:val="single" w:sz="8" w:space="0" w:color="C4D600"/>
          <w:left w:val="nil"/>
          <w:bottom w:val="nil"/>
          <w:right w:val="nil"/>
          <w:insideH w:val="nil"/>
          <w:insideV w:val="nil"/>
        </w:tcBorders>
        <w:shd w:val="clear" w:color="auto" w:fill="FFFFFF"/>
      </w:tcPr>
    </w:tblStylePr>
    <w:tblStylePr w:type="firstCol">
      <w:tblPr/>
      <w:tcPr>
        <w:tcBorders>
          <w:top w:val="nil"/>
          <w:left w:val="nil"/>
          <w:bottom w:val="nil"/>
          <w:right w:val="single" w:sz="8" w:space="0" w:color="C4D600"/>
          <w:insideH w:val="nil"/>
          <w:insideV w:val="nil"/>
        </w:tcBorders>
        <w:shd w:val="clear" w:color="auto" w:fill="FFFFFF"/>
      </w:tcPr>
    </w:tblStylePr>
    <w:tblStylePr w:type="lastCol">
      <w:tblPr/>
      <w:tcPr>
        <w:tcBorders>
          <w:top w:val="nil"/>
          <w:left w:val="single" w:sz="8" w:space="0" w:color="C4D6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8FFB5"/>
      </w:tcPr>
    </w:tblStylePr>
    <w:tblStylePr w:type="band1Horz">
      <w:tblPr/>
      <w:tcPr>
        <w:tcBorders>
          <w:top w:val="nil"/>
          <w:bottom w:val="nil"/>
          <w:insideH w:val="nil"/>
          <w:insideV w:val="nil"/>
        </w:tcBorders>
        <w:shd w:val="clear" w:color="auto" w:fill="F8FFB5"/>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131E1"/>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131E1"/>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131E1"/>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131E1"/>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131E1"/>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A131E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131E1"/>
    <w:tblPr>
      <w:tblStyleRowBandSize w:val="1"/>
      <w:tblStyleColBandSize w:val="1"/>
      <w:tblBorders>
        <w:top w:val="single" w:sz="8" w:space="0" w:color="EBFF21"/>
        <w:left w:val="single" w:sz="8" w:space="0" w:color="EBFF21"/>
        <w:bottom w:val="single" w:sz="8" w:space="0" w:color="EBFF21"/>
        <w:right w:val="single" w:sz="8" w:space="0" w:color="EBFF21"/>
        <w:insideH w:val="single" w:sz="8" w:space="0" w:color="EBFF21"/>
      </w:tblBorders>
    </w:tblPr>
    <w:tblStylePr w:type="firstRow">
      <w:pPr>
        <w:spacing w:before="0" w:after="0" w:line="240" w:lineRule="auto"/>
      </w:pPr>
      <w:rPr>
        <w:b/>
        <w:bCs/>
        <w:color w:val="FFFFFF"/>
      </w:rPr>
      <w:tblPr/>
      <w:tcPr>
        <w:tcBorders>
          <w:top w:val="single" w:sz="8" w:space="0" w:color="EBFF21"/>
          <w:left w:val="single" w:sz="8" w:space="0" w:color="EBFF21"/>
          <w:bottom w:val="single" w:sz="8" w:space="0" w:color="EBFF21"/>
          <w:right w:val="single" w:sz="8" w:space="0" w:color="EBFF21"/>
          <w:insideH w:val="nil"/>
          <w:insideV w:val="nil"/>
        </w:tcBorders>
        <w:shd w:val="clear" w:color="auto" w:fill="C4D600"/>
      </w:tcPr>
    </w:tblStylePr>
    <w:tblStylePr w:type="lastRow">
      <w:pPr>
        <w:spacing w:before="0" w:after="0" w:line="240" w:lineRule="auto"/>
      </w:pPr>
      <w:rPr>
        <w:b/>
        <w:bCs/>
      </w:rPr>
      <w:tblPr/>
      <w:tcPr>
        <w:tcBorders>
          <w:top w:val="double" w:sz="6" w:space="0" w:color="EBFF21"/>
          <w:left w:val="single" w:sz="8" w:space="0" w:color="EBFF21"/>
          <w:bottom w:val="single" w:sz="8" w:space="0" w:color="EBFF21"/>
          <w:right w:val="single" w:sz="8" w:space="0" w:color="EBFF21"/>
          <w:insideH w:val="nil"/>
          <w:insideV w:val="nil"/>
        </w:tcBorders>
      </w:tcPr>
    </w:tblStylePr>
    <w:tblStylePr w:type="firstCol">
      <w:rPr>
        <w:b/>
        <w:bCs/>
      </w:rPr>
    </w:tblStylePr>
    <w:tblStylePr w:type="lastCol">
      <w:rPr>
        <w:b/>
        <w:bCs/>
      </w:rPr>
    </w:tblStylePr>
    <w:tblStylePr w:type="band1Vert">
      <w:tblPr/>
      <w:tcPr>
        <w:shd w:val="clear" w:color="auto" w:fill="F8FFB5"/>
      </w:tcPr>
    </w:tblStylePr>
    <w:tblStylePr w:type="band1Horz">
      <w:tblPr/>
      <w:tcPr>
        <w:tcBorders>
          <w:insideH w:val="nil"/>
          <w:insideV w:val="nil"/>
        </w:tcBorders>
        <w:shd w:val="clear" w:color="auto" w:fill="F8FFB5"/>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131E1"/>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131E1"/>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131E1"/>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131E1"/>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131E1"/>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A131E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131E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4D6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4D600"/>
      </w:tcPr>
    </w:tblStylePr>
    <w:tblStylePr w:type="lastCol">
      <w:rPr>
        <w:b/>
        <w:bCs/>
        <w:color w:val="FFFFFF"/>
      </w:rPr>
      <w:tblPr/>
      <w:tcPr>
        <w:tcBorders>
          <w:left w:val="nil"/>
          <w:right w:val="nil"/>
          <w:insideH w:val="nil"/>
          <w:insideV w:val="nil"/>
        </w:tcBorders>
        <w:shd w:val="clear" w:color="auto" w:fill="C4D6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131E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131E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131E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131E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131E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A131E1"/>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rPr>
  </w:style>
  <w:style w:type="character" w:customStyle="1" w:styleId="MessageHeaderChar">
    <w:name w:val="Message Header Char"/>
    <w:link w:val="MessageHeader"/>
    <w:rsid w:val="00A131E1"/>
    <w:rPr>
      <w:rFonts w:ascii="Cambria" w:hAnsi="Cambria"/>
      <w:sz w:val="24"/>
      <w:szCs w:val="24"/>
      <w:shd w:val="pct20" w:color="auto" w:fill="auto"/>
    </w:rPr>
  </w:style>
  <w:style w:type="paragraph" w:styleId="NoSpacing">
    <w:name w:val="No Spacing"/>
    <w:uiPriority w:val="1"/>
    <w:qFormat/>
    <w:rsid w:val="00A131E1"/>
    <w:rPr>
      <w:sz w:val="22"/>
      <w:szCs w:val="24"/>
    </w:rPr>
  </w:style>
  <w:style w:type="paragraph" w:styleId="NormalWeb">
    <w:name w:val="Normal (Web)"/>
    <w:basedOn w:val="Normal"/>
    <w:rsid w:val="00A131E1"/>
    <w:rPr>
      <w:sz w:val="24"/>
    </w:rPr>
  </w:style>
  <w:style w:type="paragraph" w:styleId="NormalIndent">
    <w:name w:val="Normal Indent"/>
    <w:basedOn w:val="Normal"/>
    <w:rsid w:val="00A131E1"/>
    <w:pPr>
      <w:ind w:left="720"/>
    </w:pPr>
  </w:style>
  <w:style w:type="paragraph" w:styleId="NoteHeading">
    <w:name w:val="Note Heading"/>
    <w:basedOn w:val="Normal"/>
    <w:next w:val="Normal"/>
    <w:link w:val="NoteHeadingChar"/>
    <w:rsid w:val="00A131E1"/>
  </w:style>
  <w:style w:type="character" w:customStyle="1" w:styleId="NoteHeadingChar">
    <w:name w:val="Note Heading Char"/>
    <w:link w:val="NoteHeading"/>
    <w:rsid w:val="00A131E1"/>
    <w:rPr>
      <w:sz w:val="22"/>
      <w:szCs w:val="24"/>
    </w:rPr>
  </w:style>
  <w:style w:type="paragraph" w:customStyle="1" w:styleId="Numbered">
    <w:name w:val="Numbered"/>
    <w:rsid w:val="00A131E1"/>
    <w:pPr>
      <w:numPr>
        <w:numId w:val="14"/>
      </w:numPr>
      <w:spacing w:after="120" w:line="360" w:lineRule="auto"/>
    </w:pPr>
    <w:rPr>
      <w:rFonts w:ascii="Arial" w:hAnsi="Arial"/>
      <w:sz w:val="22"/>
      <w:szCs w:val="24"/>
    </w:rPr>
  </w:style>
  <w:style w:type="character" w:styleId="PlaceholderText">
    <w:name w:val="Placeholder Text"/>
    <w:uiPriority w:val="99"/>
    <w:semiHidden/>
    <w:rsid w:val="00A131E1"/>
    <w:rPr>
      <w:color w:val="808080"/>
    </w:rPr>
  </w:style>
  <w:style w:type="paragraph" w:styleId="PlainText">
    <w:name w:val="Plain Text"/>
    <w:basedOn w:val="Normal"/>
    <w:link w:val="PlainTextChar"/>
    <w:rsid w:val="00A131E1"/>
    <w:rPr>
      <w:rFonts w:ascii="Consolas" w:hAnsi="Consolas"/>
      <w:sz w:val="21"/>
      <w:szCs w:val="21"/>
    </w:rPr>
  </w:style>
  <w:style w:type="character" w:customStyle="1" w:styleId="PlainTextChar">
    <w:name w:val="Plain Text Char"/>
    <w:link w:val="PlainText"/>
    <w:rsid w:val="00A131E1"/>
    <w:rPr>
      <w:rFonts w:ascii="Consolas" w:hAnsi="Consolas"/>
      <w:sz w:val="21"/>
      <w:szCs w:val="21"/>
    </w:rPr>
  </w:style>
  <w:style w:type="paragraph" w:customStyle="1" w:styleId="PortraitA3Footer">
    <w:name w:val="Portrait A3 Footer"/>
    <w:rsid w:val="00A131E1"/>
    <w:pPr>
      <w:tabs>
        <w:tab w:val="right" w:pos="14670"/>
      </w:tabs>
      <w:ind w:right="34"/>
    </w:pPr>
    <w:rPr>
      <w:rFonts w:ascii="Calibri" w:hAnsi="Calibri"/>
      <w:sz w:val="18"/>
      <w:szCs w:val="24"/>
    </w:rPr>
  </w:style>
  <w:style w:type="paragraph" w:customStyle="1" w:styleId="PortraitA3Header">
    <w:name w:val="Portrait A3 Header"/>
    <w:basedOn w:val="LandscapeA3Header"/>
    <w:rsid w:val="00A131E1"/>
    <w:pPr>
      <w:tabs>
        <w:tab w:val="clear" w:pos="21670"/>
        <w:tab w:val="center" w:pos="7370"/>
        <w:tab w:val="right" w:pos="14742"/>
      </w:tabs>
    </w:pPr>
  </w:style>
  <w:style w:type="paragraph" w:customStyle="1" w:styleId="ProjectJobTitle">
    <w:name w:val="ProjectJob Title"/>
    <w:basedOn w:val="Normal"/>
    <w:rsid w:val="00A131E1"/>
    <w:pPr>
      <w:widowControl w:val="0"/>
      <w:autoSpaceDE w:val="0"/>
      <w:autoSpaceDN w:val="0"/>
      <w:adjustRightInd w:val="0"/>
      <w:spacing w:before="120" w:after="120"/>
      <w:jc w:val="right"/>
      <w:textAlignment w:val="center"/>
    </w:pPr>
    <w:rPr>
      <w:rFonts w:ascii="Calibri" w:hAnsi="Calibri"/>
      <w:color w:val="FFFFFF"/>
      <w:sz w:val="36"/>
      <w:szCs w:val="40"/>
    </w:rPr>
  </w:style>
  <w:style w:type="paragraph" w:customStyle="1" w:styleId="ProjJob">
    <w:name w:val="ProjJob"/>
    <w:basedOn w:val="ProjectJobTitle"/>
    <w:rsid w:val="00A131E1"/>
    <w:rPr>
      <w:sz w:val="32"/>
    </w:rPr>
  </w:style>
  <w:style w:type="paragraph" w:styleId="Quote">
    <w:name w:val="Quote"/>
    <w:basedOn w:val="Normal"/>
    <w:next w:val="Normal"/>
    <w:link w:val="QuoteChar"/>
    <w:uiPriority w:val="29"/>
    <w:qFormat/>
    <w:rsid w:val="00A131E1"/>
    <w:rPr>
      <w:i/>
      <w:iCs/>
      <w:color w:val="000000"/>
    </w:rPr>
  </w:style>
  <w:style w:type="character" w:customStyle="1" w:styleId="QuoteChar">
    <w:name w:val="Quote Char"/>
    <w:link w:val="Quote"/>
    <w:uiPriority w:val="29"/>
    <w:rsid w:val="00A131E1"/>
    <w:rPr>
      <w:i/>
      <w:iCs/>
      <w:color w:val="000000"/>
      <w:sz w:val="22"/>
      <w:szCs w:val="24"/>
    </w:rPr>
  </w:style>
  <w:style w:type="paragraph" w:customStyle="1" w:styleId="StyleProjectJobTitleLeft">
    <w:name w:val="Style ProjectJob Title + Left"/>
    <w:basedOn w:val="ProjectJobTitle"/>
    <w:rsid w:val="00A131E1"/>
    <w:pPr>
      <w:jc w:val="left"/>
    </w:pPr>
    <w:rPr>
      <w:bCs/>
      <w:sz w:val="32"/>
      <w:szCs w:val="20"/>
    </w:rPr>
  </w:style>
  <w:style w:type="paragraph" w:customStyle="1" w:styleId="StyleStyleProjectJobTitleLeftBefore0pt">
    <w:name w:val="Style Style ProjectJob Title + Left + Before:  0 pt"/>
    <w:basedOn w:val="StyleProjectJobTitleLeft"/>
    <w:rsid w:val="00A131E1"/>
    <w:pPr>
      <w:spacing w:before="0"/>
    </w:pPr>
    <w:rPr>
      <w:b/>
    </w:rPr>
  </w:style>
  <w:style w:type="paragraph" w:customStyle="1" w:styleId="Reportname">
    <w:name w:val="Report name"/>
    <w:basedOn w:val="StyleStyleProjectJobTitleLeftBefore0pt"/>
    <w:rsid w:val="00A131E1"/>
    <w:pPr>
      <w:framePr w:wrap="around" w:vAnchor="page" w:hAnchor="page" w:x="3182" w:y="4650"/>
      <w:suppressOverlap/>
    </w:pPr>
  </w:style>
  <w:style w:type="paragraph" w:customStyle="1" w:styleId="StyleProjJobLeft">
    <w:name w:val="Style ProjJob + Left"/>
    <w:basedOn w:val="ProjJob"/>
    <w:rsid w:val="00A131E1"/>
    <w:pPr>
      <w:jc w:val="left"/>
    </w:pPr>
    <w:rPr>
      <w:bCs/>
      <w:sz w:val="36"/>
      <w:szCs w:val="20"/>
    </w:rPr>
  </w:style>
  <w:style w:type="paragraph" w:customStyle="1" w:styleId="StyleStyleProjJobLeftWhiteAfter0pt">
    <w:name w:val="Style Style ProjJob + Left + White After:  0 pt"/>
    <w:basedOn w:val="StyleProjJobLeft"/>
    <w:rsid w:val="00A131E1"/>
    <w:pPr>
      <w:spacing w:after="0"/>
    </w:pPr>
    <w:rPr>
      <w:b/>
    </w:rPr>
  </w:style>
  <w:style w:type="paragraph" w:customStyle="1" w:styleId="Reporttitle">
    <w:name w:val="Report title"/>
    <w:basedOn w:val="StyleStyleProjJobLeftWhiteAfter0pt"/>
    <w:rsid w:val="00A131E1"/>
    <w:pPr>
      <w:framePr w:wrap="around" w:vAnchor="page" w:hAnchor="page" w:x="3182" w:y="4650"/>
      <w:suppressOverlap/>
    </w:pPr>
  </w:style>
  <w:style w:type="paragraph" w:styleId="Revision">
    <w:name w:val="Revision"/>
    <w:basedOn w:val="Normal"/>
    <w:semiHidden/>
    <w:rsid w:val="00A131E1"/>
    <w:pPr>
      <w:pBdr>
        <w:right w:val="single" w:sz="4" w:space="4" w:color="FF0000"/>
      </w:pBdr>
      <w:spacing w:before="60" w:after="100" w:afterAutospacing="1"/>
      <w:jc w:val="both"/>
    </w:pPr>
    <w:rPr>
      <w:rFonts w:ascii="Arial" w:hAnsi="Arial"/>
      <w:color w:val="FF0000"/>
      <w:sz w:val="16"/>
      <w:szCs w:val="16"/>
    </w:rPr>
  </w:style>
  <w:style w:type="paragraph" w:styleId="Salutation">
    <w:name w:val="Salutation"/>
    <w:basedOn w:val="Normal"/>
    <w:next w:val="Normal"/>
    <w:link w:val="SalutationChar"/>
    <w:rsid w:val="00A131E1"/>
  </w:style>
  <w:style w:type="character" w:customStyle="1" w:styleId="SalutationChar">
    <w:name w:val="Salutation Char"/>
    <w:link w:val="Salutation"/>
    <w:rsid w:val="00A131E1"/>
    <w:rPr>
      <w:sz w:val="22"/>
      <w:szCs w:val="24"/>
    </w:rPr>
  </w:style>
  <w:style w:type="paragraph" w:styleId="Signature">
    <w:name w:val="Signature"/>
    <w:basedOn w:val="Normal"/>
    <w:link w:val="SignatureChar"/>
    <w:rsid w:val="00A131E1"/>
    <w:pPr>
      <w:ind w:left="4320"/>
    </w:pPr>
  </w:style>
  <w:style w:type="character" w:customStyle="1" w:styleId="SignatureChar">
    <w:name w:val="Signature Char"/>
    <w:link w:val="Signature"/>
    <w:rsid w:val="00A131E1"/>
    <w:rPr>
      <w:sz w:val="22"/>
      <w:szCs w:val="24"/>
    </w:rPr>
  </w:style>
  <w:style w:type="character" w:styleId="Strong">
    <w:name w:val="Strong"/>
    <w:qFormat/>
    <w:rsid w:val="00A131E1"/>
    <w:rPr>
      <w:b/>
      <w:bCs/>
    </w:rPr>
  </w:style>
  <w:style w:type="paragraph" w:customStyle="1" w:styleId="StyleListBulletCalibriBold">
    <w:name w:val="Style List Bullet + Calibri Bold"/>
    <w:basedOn w:val="ListBullet"/>
    <w:link w:val="StyleListBulletCalibriBoldChar"/>
    <w:rsid w:val="00A131E1"/>
    <w:pPr>
      <w:numPr>
        <w:numId w:val="0"/>
      </w:numPr>
    </w:pPr>
    <w:rPr>
      <w:b/>
      <w:bCs/>
    </w:rPr>
  </w:style>
  <w:style w:type="character" w:customStyle="1" w:styleId="StyleListBulletCalibriBoldChar">
    <w:name w:val="Style List Bullet + Calibri Bold Char"/>
    <w:link w:val="StyleListBulletCalibriBold"/>
    <w:rsid w:val="00A131E1"/>
    <w:rPr>
      <w:rFonts w:ascii="Calibri" w:hAnsi="Calibri"/>
      <w:b/>
      <w:bCs/>
      <w:sz w:val="22"/>
      <w:szCs w:val="24"/>
    </w:rPr>
  </w:style>
  <w:style w:type="paragraph" w:styleId="Subtitle">
    <w:name w:val="Subtitle"/>
    <w:basedOn w:val="Normal"/>
    <w:next w:val="Normal"/>
    <w:link w:val="SubtitleChar"/>
    <w:qFormat/>
    <w:rsid w:val="00A131E1"/>
    <w:pPr>
      <w:numPr>
        <w:ilvl w:val="1"/>
      </w:numPr>
    </w:pPr>
    <w:rPr>
      <w:rFonts w:ascii="Cambria" w:hAnsi="Cambria"/>
      <w:i/>
      <w:iCs/>
      <w:color w:val="C4D600"/>
      <w:spacing w:val="15"/>
      <w:sz w:val="24"/>
    </w:rPr>
  </w:style>
  <w:style w:type="character" w:customStyle="1" w:styleId="SubtitleChar">
    <w:name w:val="Subtitle Char"/>
    <w:link w:val="Subtitle"/>
    <w:rsid w:val="00A131E1"/>
    <w:rPr>
      <w:rFonts w:ascii="Cambria" w:hAnsi="Cambria"/>
      <w:i/>
      <w:iCs/>
      <w:color w:val="C4D600"/>
      <w:spacing w:val="15"/>
      <w:sz w:val="24"/>
      <w:szCs w:val="24"/>
    </w:rPr>
  </w:style>
  <w:style w:type="character" w:styleId="SubtleEmphasis">
    <w:name w:val="Subtle Emphasis"/>
    <w:uiPriority w:val="19"/>
    <w:qFormat/>
    <w:rsid w:val="00A131E1"/>
    <w:rPr>
      <w:i/>
      <w:iCs/>
      <w:color w:val="808080"/>
    </w:rPr>
  </w:style>
  <w:style w:type="character" w:styleId="SubtleReference">
    <w:name w:val="Subtle Reference"/>
    <w:uiPriority w:val="31"/>
    <w:qFormat/>
    <w:rsid w:val="00A131E1"/>
    <w:rPr>
      <w:smallCaps/>
      <w:color w:val="C0504D"/>
      <w:u w:val="single"/>
    </w:rPr>
  </w:style>
  <w:style w:type="table" w:styleId="Table3Deffects1">
    <w:name w:val="Table 3D effects 1"/>
    <w:basedOn w:val="TableNormal"/>
    <w:rsid w:val="00A131E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131E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131E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
    <w:name w:val="Table Bullet"/>
    <w:rsid w:val="00A131E1"/>
    <w:pPr>
      <w:numPr>
        <w:numId w:val="15"/>
      </w:numPr>
      <w:spacing w:before="60" w:after="60"/>
    </w:pPr>
    <w:rPr>
      <w:rFonts w:ascii="Calibri" w:hAnsi="Calibri"/>
      <w:sz w:val="22"/>
      <w:szCs w:val="24"/>
    </w:rPr>
  </w:style>
  <w:style w:type="paragraph" w:customStyle="1" w:styleId="Tablebulletlevel2">
    <w:name w:val="Table bullet level 2"/>
    <w:basedOn w:val="TableBullet"/>
    <w:qFormat/>
    <w:rsid w:val="00A131E1"/>
    <w:pPr>
      <w:numPr>
        <w:numId w:val="16"/>
      </w:numPr>
    </w:pPr>
  </w:style>
  <w:style w:type="table" w:styleId="TableClassic1">
    <w:name w:val="Table Classic 1"/>
    <w:basedOn w:val="TableNormal"/>
    <w:rsid w:val="00A131E1"/>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131E1"/>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131E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131E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131E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131E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131E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131E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131E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131E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131E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131E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131E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TableContents">
    <w:name w:val="Table Contents"/>
    <w:link w:val="TableContentsChar"/>
    <w:rsid w:val="00A131E1"/>
    <w:pPr>
      <w:spacing w:before="60" w:after="60"/>
    </w:pPr>
    <w:rPr>
      <w:rFonts w:ascii="Calibri" w:hAnsi="Calibri"/>
      <w:sz w:val="22"/>
      <w:szCs w:val="22"/>
    </w:rPr>
  </w:style>
  <w:style w:type="paragraph" w:customStyle="1" w:styleId="TableContentsCentered">
    <w:name w:val="Table Contents Centered"/>
    <w:basedOn w:val="TableContents"/>
    <w:rsid w:val="00A131E1"/>
    <w:pPr>
      <w:jc w:val="center"/>
    </w:pPr>
    <w:rPr>
      <w:szCs w:val="24"/>
    </w:rPr>
  </w:style>
  <w:style w:type="paragraph" w:customStyle="1" w:styleId="TableContentsRight">
    <w:name w:val="Table Contents Right"/>
    <w:basedOn w:val="TableContents"/>
    <w:rsid w:val="00A131E1"/>
    <w:pPr>
      <w:jc w:val="right"/>
    </w:pPr>
  </w:style>
  <w:style w:type="table" w:styleId="TableElegant">
    <w:name w:val="Table Elegant"/>
    <w:basedOn w:val="TableNormal"/>
    <w:rsid w:val="00A131E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13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131E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131E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131E1"/>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131E1"/>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131E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131E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131E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131E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s">
    <w:name w:val="Table headings"/>
    <w:basedOn w:val="TableContents"/>
    <w:rsid w:val="00A131E1"/>
    <w:rPr>
      <w:b/>
    </w:rPr>
  </w:style>
  <w:style w:type="paragraph" w:customStyle="1" w:styleId="TableHeadings0">
    <w:name w:val="Table Headings"/>
    <w:rsid w:val="00A131E1"/>
    <w:pPr>
      <w:spacing w:before="60" w:after="60"/>
    </w:pPr>
    <w:rPr>
      <w:rFonts w:ascii="Calibri" w:hAnsi="Calibri"/>
      <w:b/>
      <w:sz w:val="22"/>
      <w:szCs w:val="22"/>
    </w:rPr>
  </w:style>
  <w:style w:type="paragraph" w:customStyle="1" w:styleId="Tableheadingscentred">
    <w:name w:val="Table headings centred"/>
    <w:basedOn w:val="Tableheadings"/>
    <w:rsid w:val="00A131E1"/>
    <w:pPr>
      <w:jc w:val="center"/>
    </w:pPr>
  </w:style>
  <w:style w:type="paragraph" w:customStyle="1" w:styleId="Tableheadingsright">
    <w:name w:val="Table headings right"/>
    <w:basedOn w:val="Tableheadings"/>
    <w:rsid w:val="00A131E1"/>
    <w:pPr>
      <w:jc w:val="right"/>
    </w:pPr>
  </w:style>
  <w:style w:type="table" w:customStyle="1" w:styleId="TableHydro">
    <w:name w:val="Table Hydro"/>
    <w:basedOn w:val="TableNormal"/>
    <w:rsid w:val="00A131E1"/>
    <w:pPr>
      <w:spacing w:before="60" w:after="60"/>
    </w:pPr>
    <w:rPr>
      <w:rFonts w:ascii="Calibri" w:hAnsi="Calibri"/>
    </w:rPr>
    <w:tblPr>
      <w:tblBorders>
        <w:top w:val="single" w:sz="4" w:space="0" w:color="auto"/>
        <w:bottom w:val="single" w:sz="4" w:space="0" w:color="auto"/>
        <w:insideH w:val="single" w:sz="4" w:space="0" w:color="808080"/>
        <w:insideV w:val="single" w:sz="4" w:space="0" w:color="808080"/>
      </w:tblBorders>
    </w:tblPr>
    <w:tcPr>
      <w:shd w:val="clear" w:color="auto" w:fill="auto"/>
    </w:tcPr>
    <w:tblStylePr w:type="firstRow">
      <w:tblPr/>
      <w:tcPr>
        <w:tcBorders>
          <w:top w:val="single" w:sz="8" w:space="0" w:color="auto"/>
          <w:bottom w:val="single" w:sz="8" w:space="0" w:color="auto"/>
        </w:tcBorders>
      </w:tcPr>
    </w:tblStylePr>
    <w:tblStylePr w:type="lastRow">
      <w:tblPr/>
      <w:tcPr>
        <w:tcBorders>
          <w:bottom w:val="single" w:sz="8" w:space="0" w:color="auto"/>
        </w:tcBorders>
      </w:tcPr>
    </w:tblStylePr>
  </w:style>
  <w:style w:type="table" w:styleId="TableList1">
    <w:name w:val="Table List 1"/>
    <w:basedOn w:val="TableNormal"/>
    <w:rsid w:val="00A131E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131E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131E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131E1"/>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131E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131E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131E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131E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A131E1"/>
    <w:pPr>
      <w:ind w:left="220" w:hanging="220"/>
    </w:pPr>
    <w:rPr>
      <w:rFonts w:ascii="Arial" w:hAnsi="Arial"/>
    </w:rPr>
  </w:style>
  <w:style w:type="paragraph" w:styleId="TableofFigures">
    <w:name w:val="table of figures"/>
    <w:basedOn w:val="NotHeading2"/>
    <w:next w:val="BodyText"/>
    <w:link w:val="TableofFiguresChar"/>
    <w:rsid w:val="00A131E1"/>
    <w:rPr>
      <w:color w:val="auto"/>
      <w:sz w:val="20"/>
      <w:szCs w:val="20"/>
    </w:rPr>
  </w:style>
  <w:style w:type="character" w:customStyle="1" w:styleId="TableofFiguresChar">
    <w:name w:val="Table of Figures Char"/>
    <w:link w:val="TableofFigures"/>
    <w:rsid w:val="00A131E1"/>
    <w:rPr>
      <w:rFonts w:ascii="Calibri" w:hAnsi="Calibri" w:cs="Arial"/>
      <w:bCs/>
      <w:iCs/>
    </w:rPr>
  </w:style>
  <w:style w:type="table" w:styleId="TableProfessional">
    <w:name w:val="Table Professional"/>
    <w:basedOn w:val="TableNormal"/>
    <w:rsid w:val="00A131E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131E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131E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131E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131E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131E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13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131E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131E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131E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A131E1"/>
    <w:pPr>
      <w:pBdr>
        <w:bottom w:val="single" w:sz="8" w:space="4" w:color="C4D600"/>
      </w:pBdr>
      <w:spacing w:after="300"/>
      <w:contextualSpacing/>
    </w:pPr>
    <w:rPr>
      <w:rFonts w:ascii="Cambria" w:hAnsi="Cambria"/>
      <w:color w:val="2F3232"/>
      <w:spacing w:val="5"/>
      <w:kern w:val="28"/>
      <w:sz w:val="52"/>
      <w:szCs w:val="52"/>
    </w:rPr>
  </w:style>
  <w:style w:type="character" w:customStyle="1" w:styleId="TitleChar">
    <w:name w:val="Title Char"/>
    <w:link w:val="Title"/>
    <w:rsid w:val="00A131E1"/>
    <w:rPr>
      <w:rFonts w:ascii="Cambria" w:hAnsi="Cambria"/>
      <w:color w:val="2F3232"/>
      <w:spacing w:val="5"/>
      <w:kern w:val="28"/>
      <w:sz w:val="52"/>
      <w:szCs w:val="52"/>
    </w:rPr>
  </w:style>
  <w:style w:type="paragraph" w:styleId="TOAHeading">
    <w:name w:val="toa heading"/>
    <w:basedOn w:val="Normal"/>
    <w:next w:val="Normal"/>
    <w:rsid w:val="00A131E1"/>
    <w:pPr>
      <w:spacing w:before="120"/>
      <w:ind w:left="442" w:hanging="442"/>
    </w:pPr>
    <w:rPr>
      <w:rFonts w:ascii="Arial" w:hAnsi="Arial" w:cs="Arial"/>
      <w:b/>
      <w:bCs/>
    </w:rPr>
  </w:style>
  <w:style w:type="paragraph" w:styleId="TOC1">
    <w:name w:val="toc 1"/>
    <w:next w:val="Normal"/>
    <w:uiPriority w:val="39"/>
    <w:rsid w:val="00A131E1"/>
    <w:pPr>
      <w:tabs>
        <w:tab w:val="right" w:pos="9072"/>
      </w:tabs>
      <w:spacing w:before="240" w:after="120"/>
      <w:ind w:left="442" w:right="1043" w:hanging="442"/>
    </w:pPr>
    <w:rPr>
      <w:rFonts w:ascii="Calibri" w:hAnsi="Calibri"/>
      <w:b/>
      <w:noProof/>
      <w:szCs w:val="22"/>
    </w:rPr>
  </w:style>
  <w:style w:type="paragraph" w:styleId="TOC2">
    <w:name w:val="toc 2"/>
    <w:next w:val="Normal"/>
    <w:uiPriority w:val="39"/>
    <w:rsid w:val="00A131E1"/>
    <w:pPr>
      <w:tabs>
        <w:tab w:val="left" w:pos="990"/>
        <w:tab w:val="right" w:pos="9072"/>
      </w:tabs>
      <w:spacing w:after="60"/>
      <w:ind w:left="1009" w:right="1043" w:hanging="567"/>
    </w:pPr>
    <w:rPr>
      <w:rFonts w:ascii="Calibri" w:hAnsi="Calibri"/>
      <w:noProof/>
      <w:szCs w:val="22"/>
    </w:rPr>
  </w:style>
  <w:style w:type="paragraph" w:styleId="TOC3">
    <w:name w:val="toc 3"/>
    <w:next w:val="BlockText"/>
    <w:uiPriority w:val="39"/>
    <w:rsid w:val="00A131E1"/>
    <w:pPr>
      <w:tabs>
        <w:tab w:val="left" w:pos="1540"/>
        <w:tab w:val="right" w:pos="9072"/>
      </w:tabs>
      <w:spacing w:after="60"/>
      <w:ind w:left="1667" w:right="1043" w:hanging="658"/>
    </w:pPr>
    <w:rPr>
      <w:rFonts w:ascii="Calibri" w:hAnsi="Calibri"/>
      <w:noProof/>
      <w:szCs w:val="24"/>
    </w:rPr>
  </w:style>
  <w:style w:type="paragraph" w:styleId="TOC4">
    <w:name w:val="toc 4"/>
    <w:next w:val="Normal"/>
    <w:rsid w:val="00A131E1"/>
    <w:pPr>
      <w:tabs>
        <w:tab w:val="right" w:pos="9072"/>
      </w:tabs>
      <w:spacing w:after="120"/>
      <w:ind w:left="2200" w:hanging="660"/>
    </w:pPr>
    <w:rPr>
      <w:rFonts w:ascii="Arial" w:hAnsi="Arial"/>
      <w:noProof/>
      <w:szCs w:val="24"/>
    </w:rPr>
  </w:style>
  <w:style w:type="paragraph" w:styleId="TOC5">
    <w:name w:val="toc 5"/>
    <w:basedOn w:val="Normal"/>
    <w:next w:val="Normal"/>
    <w:rsid w:val="00A131E1"/>
    <w:pPr>
      <w:tabs>
        <w:tab w:val="right" w:pos="9072"/>
      </w:tabs>
      <w:ind w:left="2530" w:right="1480"/>
    </w:pPr>
  </w:style>
  <w:style w:type="paragraph" w:styleId="TOC6">
    <w:name w:val="toc 6"/>
    <w:basedOn w:val="Normal"/>
    <w:next w:val="Normal"/>
    <w:rsid w:val="00A131E1"/>
    <w:pPr>
      <w:ind w:left="1100"/>
    </w:pPr>
  </w:style>
  <w:style w:type="paragraph" w:styleId="TOC7">
    <w:name w:val="toc 7"/>
    <w:basedOn w:val="Normal"/>
    <w:next w:val="Normal"/>
    <w:rsid w:val="00A131E1"/>
    <w:pPr>
      <w:tabs>
        <w:tab w:val="left" w:pos="567"/>
        <w:tab w:val="right" w:pos="9020"/>
      </w:tabs>
      <w:spacing w:before="120" w:after="120"/>
      <w:ind w:left="442" w:hanging="442"/>
    </w:pPr>
    <w:rPr>
      <w:rFonts w:ascii="Arial Bold" w:hAnsi="Arial Bold"/>
      <w:b/>
      <w:noProof/>
      <w:sz w:val="20"/>
      <w:szCs w:val="22"/>
    </w:rPr>
  </w:style>
  <w:style w:type="paragraph" w:styleId="TOC8">
    <w:name w:val="toc 8"/>
    <w:basedOn w:val="Normal"/>
    <w:next w:val="Normal"/>
    <w:rsid w:val="00A131E1"/>
    <w:pPr>
      <w:tabs>
        <w:tab w:val="left" w:pos="1134"/>
        <w:tab w:val="right" w:pos="9020"/>
      </w:tabs>
      <w:spacing w:after="120"/>
      <w:ind w:left="1009" w:hanging="567"/>
    </w:pPr>
    <w:rPr>
      <w:rFonts w:ascii="Arial" w:hAnsi="Arial"/>
      <w:sz w:val="20"/>
    </w:rPr>
  </w:style>
  <w:style w:type="paragraph" w:styleId="TOC9">
    <w:name w:val="toc 9"/>
    <w:basedOn w:val="Normal"/>
    <w:next w:val="Normal"/>
    <w:rsid w:val="00A131E1"/>
    <w:pPr>
      <w:tabs>
        <w:tab w:val="left" w:pos="1985"/>
        <w:tab w:val="right" w:pos="9020"/>
      </w:tabs>
      <w:spacing w:after="120"/>
      <w:ind w:left="1786" w:hanging="794"/>
    </w:pPr>
    <w:rPr>
      <w:rFonts w:ascii="Arial" w:hAnsi="Arial"/>
      <w:sz w:val="20"/>
    </w:rPr>
  </w:style>
  <w:style w:type="paragraph" w:styleId="TOCHeading">
    <w:name w:val="TOC Heading"/>
    <w:basedOn w:val="Heading1"/>
    <w:next w:val="Normal"/>
    <w:uiPriority w:val="39"/>
    <w:semiHidden/>
    <w:unhideWhenUsed/>
    <w:qFormat/>
    <w:rsid w:val="00A131E1"/>
    <w:pPr>
      <w:keepLines/>
      <w:numPr>
        <w:numId w:val="0"/>
      </w:numPr>
      <w:spacing w:after="0"/>
      <w:outlineLvl w:val="9"/>
    </w:pPr>
    <w:rPr>
      <w:rFonts w:ascii="Cambria" w:hAnsi="Cambria" w:cs="Times New Roman"/>
      <w:color w:val="92A000"/>
      <w:kern w:val="0"/>
      <w:sz w:val="28"/>
      <w:szCs w:val="28"/>
    </w:rPr>
  </w:style>
  <w:style w:type="character" w:customStyle="1" w:styleId="TableContentsChar">
    <w:name w:val="Table Contents Char"/>
    <w:link w:val="TableContents"/>
    <w:rsid w:val="003B500E"/>
    <w:rPr>
      <w:rFonts w:ascii="Calibri" w:hAnsi="Calibri"/>
      <w:sz w:val="22"/>
      <w:szCs w:val="22"/>
    </w:rPr>
  </w:style>
  <w:style w:type="paragraph" w:customStyle="1" w:styleId="CaptionTable">
    <w:name w:val="Caption Table"/>
    <w:basedOn w:val="Normal"/>
    <w:link w:val="CaptionTableChar"/>
    <w:rsid w:val="003B500E"/>
    <w:pPr>
      <w:spacing w:before="360" w:after="120"/>
      <w:jc w:val="center"/>
    </w:pPr>
    <w:rPr>
      <w:rFonts w:ascii="Calibri" w:hAnsi="Calibri"/>
      <w:b/>
      <w:color w:val="4F81BD" w:themeColor="accent1"/>
      <w:lang w:eastAsia="en-US"/>
    </w:rPr>
  </w:style>
  <w:style w:type="character" w:customStyle="1" w:styleId="CaptionTableChar">
    <w:name w:val="Caption Table Char"/>
    <w:basedOn w:val="BodyTextChar"/>
    <w:link w:val="CaptionTable"/>
    <w:rsid w:val="003B500E"/>
    <w:rPr>
      <w:rFonts w:ascii="Calibri" w:hAnsi="Calibri"/>
      <w:b/>
      <w:color w:val="4F81BD" w:themeColor="accent1"/>
      <w:sz w:val="22"/>
      <w:szCs w:val="24"/>
      <w:lang w:eastAsia="en-US"/>
    </w:rPr>
  </w:style>
  <w:style w:type="paragraph" w:customStyle="1" w:styleId="Default">
    <w:name w:val="Default"/>
    <w:rsid w:val="003C4C16"/>
    <w:pPr>
      <w:autoSpaceDE w:val="0"/>
      <w:autoSpaceDN w:val="0"/>
      <w:adjustRightInd w:val="0"/>
    </w:pPr>
    <w:rPr>
      <w:rFonts w:ascii="Calibri" w:eastAsiaTheme="minorHAnsi" w:hAnsi="Calibri" w:cs="Calibri"/>
      <w:color w:val="000000"/>
      <w:sz w:val="24"/>
      <w:szCs w:val="24"/>
      <w:lang w:eastAsia="en-US"/>
    </w:rPr>
  </w:style>
  <w:style w:type="paragraph" w:customStyle="1" w:styleId="ppp">
    <w:name w:val="ppp"/>
    <w:basedOn w:val="Normal"/>
    <w:rsid w:val="00311BC5"/>
    <w:pPr>
      <w:tabs>
        <w:tab w:val="left" w:pos="640"/>
        <w:tab w:val="left" w:pos="8300"/>
      </w:tabs>
      <w:spacing w:line="480" w:lineRule="atLeast"/>
      <w:ind w:left="20" w:right="-160" w:firstLine="800"/>
      <w:jc w:val="both"/>
    </w:pPr>
    <w:rPr>
      <w:rFonts w:ascii="Times" w:hAnsi="Times" w:cs="Times"/>
      <w:sz w:val="24"/>
      <w:szCs w:val="20"/>
      <w:lang w:val="en-US"/>
    </w:rPr>
  </w:style>
  <w:style w:type="character" w:customStyle="1" w:styleId="UnresolvedMention1">
    <w:name w:val="Unresolved Mention1"/>
    <w:basedOn w:val="DefaultParagraphFont"/>
    <w:uiPriority w:val="99"/>
    <w:semiHidden/>
    <w:unhideWhenUsed/>
    <w:rsid w:val="00236FCB"/>
    <w:rPr>
      <w:color w:val="605E5C"/>
      <w:shd w:val="clear" w:color="auto" w:fill="E1DFDD"/>
    </w:rPr>
  </w:style>
  <w:style w:type="character" w:customStyle="1" w:styleId="gd">
    <w:name w:val="gd"/>
    <w:basedOn w:val="DefaultParagraphFont"/>
    <w:rsid w:val="0088650E"/>
  </w:style>
  <w:style w:type="character" w:customStyle="1" w:styleId="g3">
    <w:name w:val="g3"/>
    <w:basedOn w:val="DefaultParagraphFont"/>
    <w:rsid w:val="0088650E"/>
  </w:style>
  <w:style w:type="character" w:customStyle="1" w:styleId="hb">
    <w:name w:val="hb"/>
    <w:basedOn w:val="DefaultParagraphFont"/>
    <w:rsid w:val="0088650E"/>
  </w:style>
  <w:style w:type="character" w:customStyle="1" w:styleId="g2">
    <w:name w:val="g2"/>
    <w:basedOn w:val="DefaultParagraphFont"/>
    <w:rsid w:val="0088650E"/>
  </w:style>
  <w:style w:type="character" w:customStyle="1" w:styleId="il">
    <w:name w:val="il"/>
    <w:basedOn w:val="DefaultParagraphFont"/>
    <w:rsid w:val="008865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6979462">
      <w:bodyDiv w:val="1"/>
      <w:marLeft w:val="0"/>
      <w:marRight w:val="0"/>
      <w:marTop w:val="0"/>
      <w:marBottom w:val="0"/>
      <w:divBdr>
        <w:top w:val="none" w:sz="0" w:space="0" w:color="auto"/>
        <w:left w:val="none" w:sz="0" w:space="0" w:color="auto"/>
        <w:bottom w:val="none" w:sz="0" w:space="0" w:color="auto"/>
        <w:right w:val="none" w:sz="0" w:space="0" w:color="auto"/>
      </w:divBdr>
    </w:div>
    <w:div w:id="1496846175">
      <w:bodyDiv w:val="1"/>
      <w:marLeft w:val="0"/>
      <w:marRight w:val="0"/>
      <w:marTop w:val="0"/>
      <w:marBottom w:val="0"/>
      <w:divBdr>
        <w:top w:val="none" w:sz="0" w:space="0" w:color="auto"/>
        <w:left w:val="none" w:sz="0" w:space="0" w:color="auto"/>
        <w:bottom w:val="none" w:sz="0" w:space="0" w:color="auto"/>
        <w:right w:val="none" w:sz="0" w:space="0" w:color="auto"/>
      </w:divBdr>
      <w:divsChild>
        <w:div w:id="1316447132">
          <w:marLeft w:val="0"/>
          <w:marRight w:val="0"/>
          <w:marTop w:val="0"/>
          <w:marBottom w:val="0"/>
          <w:divBdr>
            <w:top w:val="none" w:sz="0" w:space="0" w:color="auto"/>
            <w:left w:val="none" w:sz="0" w:space="0" w:color="auto"/>
            <w:bottom w:val="none" w:sz="0" w:space="0" w:color="auto"/>
            <w:right w:val="none" w:sz="0" w:space="0" w:color="auto"/>
          </w:divBdr>
          <w:divsChild>
            <w:div w:id="2084326077">
              <w:marLeft w:val="0"/>
              <w:marRight w:val="0"/>
              <w:marTop w:val="0"/>
              <w:marBottom w:val="0"/>
              <w:divBdr>
                <w:top w:val="none" w:sz="0" w:space="0" w:color="auto"/>
                <w:left w:val="none" w:sz="0" w:space="0" w:color="auto"/>
                <w:bottom w:val="none" w:sz="0" w:space="0" w:color="auto"/>
                <w:right w:val="none" w:sz="0" w:space="0" w:color="auto"/>
              </w:divBdr>
            </w:div>
          </w:divsChild>
        </w:div>
        <w:div w:id="1658998802">
          <w:marLeft w:val="0"/>
          <w:marRight w:val="0"/>
          <w:marTop w:val="0"/>
          <w:marBottom w:val="0"/>
          <w:divBdr>
            <w:top w:val="none" w:sz="0" w:space="0" w:color="auto"/>
            <w:left w:val="none" w:sz="0" w:space="0" w:color="auto"/>
            <w:bottom w:val="none" w:sz="0" w:space="0" w:color="auto"/>
            <w:right w:val="none" w:sz="0" w:space="0" w:color="auto"/>
          </w:divBdr>
          <w:divsChild>
            <w:div w:id="923801766">
              <w:marLeft w:val="0"/>
              <w:marRight w:val="0"/>
              <w:marTop w:val="0"/>
              <w:marBottom w:val="0"/>
              <w:divBdr>
                <w:top w:val="none" w:sz="0" w:space="0" w:color="auto"/>
                <w:left w:val="none" w:sz="0" w:space="0" w:color="auto"/>
                <w:bottom w:val="none" w:sz="0" w:space="0" w:color="auto"/>
                <w:right w:val="none" w:sz="0" w:space="0" w:color="auto"/>
              </w:divBdr>
              <w:divsChild>
                <w:div w:id="1998074786">
                  <w:marLeft w:val="0"/>
                  <w:marRight w:val="0"/>
                  <w:marTop w:val="0"/>
                  <w:marBottom w:val="0"/>
                  <w:divBdr>
                    <w:top w:val="none" w:sz="0" w:space="0" w:color="auto"/>
                    <w:left w:val="none" w:sz="0" w:space="0" w:color="auto"/>
                    <w:bottom w:val="none" w:sz="0" w:space="0" w:color="auto"/>
                    <w:right w:val="none" w:sz="0" w:space="0" w:color="auto"/>
                  </w:divBdr>
                </w:div>
                <w:div w:id="1657612698">
                  <w:marLeft w:val="300"/>
                  <w:marRight w:val="0"/>
                  <w:marTop w:val="0"/>
                  <w:marBottom w:val="0"/>
                  <w:divBdr>
                    <w:top w:val="none" w:sz="0" w:space="0" w:color="auto"/>
                    <w:left w:val="none" w:sz="0" w:space="0" w:color="auto"/>
                    <w:bottom w:val="none" w:sz="0" w:space="0" w:color="auto"/>
                    <w:right w:val="none" w:sz="0" w:space="0" w:color="auto"/>
                  </w:divBdr>
                </w:div>
                <w:div w:id="119616805">
                  <w:marLeft w:val="300"/>
                  <w:marRight w:val="0"/>
                  <w:marTop w:val="0"/>
                  <w:marBottom w:val="0"/>
                  <w:divBdr>
                    <w:top w:val="none" w:sz="0" w:space="0" w:color="auto"/>
                    <w:left w:val="none" w:sz="0" w:space="0" w:color="auto"/>
                    <w:bottom w:val="none" w:sz="0" w:space="0" w:color="auto"/>
                    <w:right w:val="none" w:sz="0" w:space="0" w:color="auto"/>
                  </w:divBdr>
                </w:div>
                <w:div w:id="1885554003">
                  <w:marLeft w:val="0"/>
                  <w:marRight w:val="0"/>
                  <w:marTop w:val="0"/>
                  <w:marBottom w:val="0"/>
                  <w:divBdr>
                    <w:top w:val="none" w:sz="0" w:space="0" w:color="auto"/>
                    <w:left w:val="none" w:sz="0" w:space="0" w:color="auto"/>
                    <w:bottom w:val="none" w:sz="0" w:space="0" w:color="auto"/>
                    <w:right w:val="none" w:sz="0" w:space="0" w:color="auto"/>
                  </w:divBdr>
                </w:div>
                <w:div w:id="561915115">
                  <w:marLeft w:val="60"/>
                  <w:marRight w:val="0"/>
                  <w:marTop w:val="0"/>
                  <w:marBottom w:val="0"/>
                  <w:divBdr>
                    <w:top w:val="none" w:sz="0" w:space="0" w:color="auto"/>
                    <w:left w:val="none" w:sz="0" w:space="0" w:color="auto"/>
                    <w:bottom w:val="none" w:sz="0" w:space="0" w:color="auto"/>
                    <w:right w:val="none" w:sz="0" w:space="0" w:color="auto"/>
                  </w:divBdr>
                </w:div>
              </w:divsChild>
            </w:div>
            <w:div w:id="1338267930">
              <w:marLeft w:val="0"/>
              <w:marRight w:val="0"/>
              <w:marTop w:val="0"/>
              <w:marBottom w:val="0"/>
              <w:divBdr>
                <w:top w:val="none" w:sz="0" w:space="0" w:color="auto"/>
                <w:left w:val="none" w:sz="0" w:space="0" w:color="auto"/>
                <w:bottom w:val="none" w:sz="0" w:space="0" w:color="auto"/>
                <w:right w:val="none" w:sz="0" w:space="0" w:color="auto"/>
              </w:divBdr>
              <w:divsChild>
                <w:div w:id="1831863982">
                  <w:marLeft w:val="0"/>
                  <w:marRight w:val="0"/>
                  <w:marTop w:val="120"/>
                  <w:marBottom w:val="0"/>
                  <w:divBdr>
                    <w:top w:val="none" w:sz="0" w:space="0" w:color="auto"/>
                    <w:left w:val="none" w:sz="0" w:space="0" w:color="auto"/>
                    <w:bottom w:val="none" w:sz="0" w:space="0" w:color="auto"/>
                    <w:right w:val="none" w:sz="0" w:space="0" w:color="auto"/>
                  </w:divBdr>
                  <w:divsChild>
                    <w:div w:id="314262762">
                      <w:marLeft w:val="0"/>
                      <w:marRight w:val="0"/>
                      <w:marTop w:val="0"/>
                      <w:marBottom w:val="0"/>
                      <w:divBdr>
                        <w:top w:val="none" w:sz="0" w:space="0" w:color="auto"/>
                        <w:left w:val="none" w:sz="0" w:space="0" w:color="auto"/>
                        <w:bottom w:val="none" w:sz="0" w:space="0" w:color="auto"/>
                        <w:right w:val="none" w:sz="0" w:space="0" w:color="auto"/>
                      </w:divBdr>
                      <w:divsChild>
                        <w:div w:id="1246837141">
                          <w:marLeft w:val="0"/>
                          <w:marRight w:val="0"/>
                          <w:marTop w:val="0"/>
                          <w:marBottom w:val="0"/>
                          <w:divBdr>
                            <w:top w:val="none" w:sz="0" w:space="0" w:color="auto"/>
                            <w:left w:val="none" w:sz="0" w:space="0" w:color="auto"/>
                            <w:bottom w:val="none" w:sz="0" w:space="0" w:color="auto"/>
                            <w:right w:val="none" w:sz="0" w:space="0" w:color="auto"/>
                          </w:divBdr>
                          <w:divsChild>
                            <w:div w:id="37096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ondwanaheritagesolutions@gmail.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4BC08C72B9D4C7497B1F67F0D3E058F"/>
        <w:category>
          <w:name w:val="General"/>
          <w:gallery w:val="placeholder"/>
        </w:category>
        <w:types>
          <w:type w:val="bbPlcHdr"/>
        </w:types>
        <w:behaviors>
          <w:behavior w:val="content"/>
        </w:behaviors>
        <w:guid w:val="{302CF8B7-0E9D-40E2-8889-5E50E844E71D}"/>
      </w:docPartPr>
      <w:docPartBody>
        <w:p w:rsidR="00430A1D" w:rsidRDefault="00131D84">
          <w:pPr>
            <w:pStyle w:val="34BC08C72B9D4C7497B1F67F0D3E058F"/>
          </w:pPr>
          <w:r w:rsidRPr="00932069">
            <w:rPr>
              <w:rStyle w:val="PlaceholderText"/>
            </w:rPr>
            <w:t>Project number</w:t>
          </w:r>
        </w:p>
      </w:docPartBody>
    </w:docPart>
    <w:docPart>
      <w:docPartPr>
        <w:name w:val="21FF1EAC605248CC959D7987C8EC086F"/>
        <w:category>
          <w:name w:val="General"/>
          <w:gallery w:val="placeholder"/>
        </w:category>
        <w:types>
          <w:type w:val="bbPlcHdr"/>
        </w:types>
        <w:behaviors>
          <w:behavior w:val="content"/>
        </w:behaviors>
        <w:guid w:val="{FFD080E1-24E2-42F5-8C27-6D0BE24C85C1}"/>
      </w:docPartPr>
      <w:docPartBody>
        <w:p w:rsidR="00430A1D" w:rsidRDefault="00131D84">
          <w:pPr>
            <w:pStyle w:val="21FF1EAC605248CC959D7987C8EC086F"/>
          </w:pPr>
          <w:r>
            <w:rPr>
              <w:rStyle w:val="PlaceholderText"/>
            </w:rPr>
            <w:t>Client organisation</w:t>
          </w:r>
        </w:p>
      </w:docPartBody>
    </w:docPart>
    <w:docPart>
      <w:docPartPr>
        <w:name w:val="22D375A9469C4DB68EC4EFA293B739B9"/>
        <w:category>
          <w:name w:val="General"/>
          <w:gallery w:val="placeholder"/>
        </w:category>
        <w:types>
          <w:type w:val="bbPlcHdr"/>
        </w:types>
        <w:behaviors>
          <w:behavior w:val="content"/>
        </w:behaviors>
        <w:guid w:val="{8CE8104D-8CFA-44F4-AEFF-836611958CA0}"/>
      </w:docPartPr>
      <w:docPartBody>
        <w:p w:rsidR="00430A1D" w:rsidRDefault="00131D84">
          <w:pPr>
            <w:pStyle w:val="22D375A9469C4DB68EC4EFA293B739B9"/>
          </w:pPr>
          <w:r>
            <w:rPr>
              <w:rStyle w:val="PlaceholderText"/>
            </w:rPr>
            <w:t>Project Manager</w:t>
          </w:r>
        </w:p>
      </w:docPartBody>
    </w:docPart>
    <w:docPart>
      <w:docPartPr>
        <w:name w:val="8AA85B7B1BFE42F0A74EBCCB59794357"/>
        <w:category>
          <w:name w:val="General"/>
          <w:gallery w:val="placeholder"/>
        </w:category>
        <w:types>
          <w:type w:val="bbPlcHdr"/>
        </w:types>
        <w:behaviors>
          <w:behavior w:val="content"/>
        </w:behaviors>
        <w:guid w:val="{04C670DC-8BC3-4776-8F1A-0B2FC2EBD21D}"/>
      </w:docPartPr>
      <w:docPartBody>
        <w:p w:rsidR="00430A1D" w:rsidRDefault="00131D84">
          <w:pPr>
            <w:pStyle w:val="8AA85B7B1BFE42F0A74EBCCB59794357"/>
          </w:pPr>
          <w:r w:rsidRPr="00932069">
            <w:rPr>
              <w:noProof/>
              <w:color w:val="525C54"/>
            </w:rPr>
            <w:t>Email name</w:t>
          </w:r>
        </w:p>
      </w:docPartBody>
    </w:docPart>
    <w:docPart>
      <w:docPartPr>
        <w:name w:val="54AC267FE06243E99F0374AA554C15D5"/>
        <w:category>
          <w:name w:val="General"/>
          <w:gallery w:val="placeholder"/>
        </w:category>
        <w:types>
          <w:type w:val="bbPlcHdr"/>
        </w:types>
        <w:behaviors>
          <w:behavior w:val="content"/>
        </w:behaviors>
        <w:guid w:val="{3D2D6B4A-E943-4265-A556-EE052AC7D00A}"/>
      </w:docPartPr>
      <w:docPartBody>
        <w:p w:rsidR="00430A1D" w:rsidRDefault="00131D84">
          <w:pPr>
            <w:pStyle w:val="54AC267FE06243E99F0374AA554C15D5"/>
          </w:pPr>
          <w:r>
            <w:rPr>
              <w:rStyle w:val="PlaceholderText"/>
            </w:rPr>
            <w:t>Project name</w:t>
          </w:r>
        </w:p>
      </w:docPartBody>
    </w:docPart>
    <w:docPart>
      <w:docPartPr>
        <w:name w:val="993B59832E5745A5ADD74E3C4B4A0841"/>
        <w:category>
          <w:name w:val="General"/>
          <w:gallery w:val="placeholder"/>
        </w:category>
        <w:types>
          <w:type w:val="bbPlcHdr"/>
        </w:types>
        <w:behaviors>
          <w:behavior w:val="content"/>
        </w:behaviors>
        <w:guid w:val="{07AEEDF7-3B3F-4E1A-BF5F-F4B48E85D6F0}"/>
      </w:docPartPr>
      <w:docPartBody>
        <w:p w:rsidR="00430A1D" w:rsidRDefault="00131D84">
          <w:pPr>
            <w:pStyle w:val="993B59832E5745A5ADD74E3C4B4A0841"/>
          </w:pPr>
          <w:r w:rsidRPr="00932069">
            <w:rPr>
              <w:rStyle w:val="PlaceholderText"/>
            </w:rPr>
            <w:t>Project number</w:t>
          </w:r>
        </w:p>
      </w:docPartBody>
    </w:docPart>
    <w:docPart>
      <w:docPartPr>
        <w:name w:val="E6D3A632BBFE4BFEB9C899C0C928E720"/>
        <w:category>
          <w:name w:val="General"/>
          <w:gallery w:val="placeholder"/>
        </w:category>
        <w:types>
          <w:type w:val="bbPlcHdr"/>
        </w:types>
        <w:behaviors>
          <w:behavior w:val="content"/>
        </w:behaviors>
        <w:guid w:val="{B7B232D4-809A-4D0E-B20C-6847F9D4DD8E}"/>
      </w:docPartPr>
      <w:docPartBody>
        <w:p w:rsidR="00430A1D" w:rsidRDefault="00131D84">
          <w:pPr>
            <w:pStyle w:val="E6D3A632BBFE4BFEB9C899C0C928E720"/>
          </w:pPr>
          <w:r w:rsidRPr="00932069">
            <w:rPr>
              <w:rStyle w:val="PlaceholderText"/>
            </w:rPr>
            <w:t>ConsultDM no.</w:t>
          </w:r>
        </w:p>
      </w:docPartBody>
    </w:docPart>
    <w:docPart>
      <w:docPartPr>
        <w:name w:val="6C7A2159C3F0435F91FF3B876176DCF1"/>
        <w:category>
          <w:name w:val="General"/>
          <w:gallery w:val="placeholder"/>
        </w:category>
        <w:types>
          <w:type w:val="bbPlcHdr"/>
        </w:types>
        <w:behaviors>
          <w:behavior w:val="content"/>
        </w:behaviors>
        <w:guid w:val="{155EDFDB-914B-4C1B-93FE-521887411219}"/>
      </w:docPartPr>
      <w:docPartBody>
        <w:p w:rsidR="00430A1D" w:rsidRDefault="00131D84">
          <w:pPr>
            <w:pStyle w:val="6C7A2159C3F0435F91FF3B876176DCF1"/>
          </w:pPr>
          <w:r w:rsidRPr="006102D7">
            <w:rPr>
              <w:rStyle w:val="PlaceholderText"/>
            </w:rPr>
            <w:t>Click here to enter text.</w:t>
          </w:r>
        </w:p>
      </w:docPartBody>
    </w:docPart>
    <w:docPart>
      <w:docPartPr>
        <w:name w:val="DED7BA05960042D79EA9B98F076A20E5"/>
        <w:category>
          <w:name w:val="General"/>
          <w:gallery w:val="placeholder"/>
        </w:category>
        <w:types>
          <w:type w:val="bbPlcHdr"/>
        </w:types>
        <w:behaviors>
          <w:behavior w:val="content"/>
        </w:behaviors>
        <w:guid w:val="{0D8225BC-BCC6-46E2-9AD1-5001E871F9DC}"/>
      </w:docPartPr>
      <w:docPartBody>
        <w:p w:rsidR="009B4D6B" w:rsidRDefault="002674AC" w:rsidP="002674AC">
          <w:pPr>
            <w:pStyle w:val="DED7BA05960042D79EA9B98F076A20E5"/>
          </w:pPr>
          <w:r w:rsidRPr="00932069">
            <w:rPr>
              <w:rStyle w:val="PlaceholderText"/>
            </w:rPr>
            <w:t>ConsultDM no.</w:t>
          </w:r>
        </w:p>
      </w:docPartBody>
    </w:docPart>
    <w:docPart>
      <w:docPartPr>
        <w:name w:val="26ECA31699DF44E9AE0B588FE3630F0E"/>
        <w:category>
          <w:name w:val="General"/>
          <w:gallery w:val="placeholder"/>
        </w:category>
        <w:types>
          <w:type w:val="bbPlcHdr"/>
        </w:types>
        <w:behaviors>
          <w:behavior w:val="content"/>
        </w:behaviors>
        <w:guid w:val="{EAEF79AC-570F-410F-8AD2-5B7F0031F531}"/>
      </w:docPartPr>
      <w:docPartBody>
        <w:p w:rsidR="002C4E6E" w:rsidRDefault="006B2B72" w:rsidP="006B2B72">
          <w:pPr>
            <w:pStyle w:val="26ECA31699DF44E9AE0B588FE3630F0E"/>
          </w:pPr>
          <w:r>
            <w:rPr>
              <w:rStyle w:val="PlaceholderText"/>
            </w:rPr>
            <w:t>Project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markup="0"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0A1D"/>
    <w:rsid w:val="00131D84"/>
    <w:rsid w:val="00213A8C"/>
    <w:rsid w:val="002674AC"/>
    <w:rsid w:val="002C4E6E"/>
    <w:rsid w:val="00430A1D"/>
    <w:rsid w:val="006B2B72"/>
    <w:rsid w:val="006D5306"/>
    <w:rsid w:val="006F569E"/>
    <w:rsid w:val="009B4D6B"/>
    <w:rsid w:val="00A51CB6"/>
    <w:rsid w:val="00A94136"/>
    <w:rsid w:val="00B72553"/>
    <w:rsid w:val="00BD582D"/>
    <w:rsid w:val="00BD722F"/>
    <w:rsid w:val="00CB2A34"/>
    <w:rsid w:val="00D465B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70ABC87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6B2B72"/>
    <w:rPr>
      <w:color w:val="808080"/>
    </w:rPr>
  </w:style>
  <w:style w:type="paragraph" w:customStyle="1" w:styleId="34BC08C72B9D4C7497B1F67F0D3E058F">
    <w:name w:val="34BC08C72B9D4C7497B1F67F0D3E058F"/>
  </w:style>
  <w:style w:type="paragraph" w:customStyle="1" w:styleId="21FF1EAC605248CC959D7987C8EC086F">
    <w:name w:val="21FF1EAC605248CC959D7987C8EC086F"/>
  </w:style>
  <w:style w:type="paragraph" w:customStyle="1" w:styleId="22D375A9469C4DB68EC4EFA293B739B9">
    <w:name w:val="22D375A9469C4DB68EC4EFA293B739B9"/>
  </w:style>
  <w:style w:type="paragraph" w:customStyle="1" w:styleId="60A1DC43718E4D708F4E25AF1224A2BA">
    <w:name w:val="60A1DC43718E4D708F4E25AF1224A2BA"/>
  </w:style>
  <w:style w:type="paragraph" w:customStyle="1" w:styleId="8AA85B7B1BFE42F0A74EBCCB59794357">
    <w:name w:val="8AA85B7B1BFE42F0A74EBCCB59794357"/>
  </w:style>
  <w:style w:type="paragraph" w:customStyle="1" w:styleId="54AC267FE06243E99F0374AA554C15D5">
    <w:name w:val="54AC267FE06243E99F0374AA554C15D5"/>
  </w:style>
  <w:style w:type="paragraph" w:customStyle="1" w:styleId="993B59832E5745A5ADD74E3C4B4A0841">
    <w:name w:val="993B59832E5745A5ADD74E3C4B4A0841"/>
  </w:style>
  <w:style w:type="paragraph" w:customStyle="1" w:styleId="E6D3A632BBFE4BFEB9C899C0C928E720">
    <w:name w:val="E6D3A632BBFE4BFEB9C899C0C928E720"/>
  </w:style>
  <w:style w:type="paragraph" w:customStyle="1" w:styleId="6C7A2159C3F0435F91FF3B876176DCF1">
    <w:name w:val="6C7A2159C3F0435F91FF3B876176DCF1"/>
  </w:style>
  <w:style w:type="paragraph" w:customStyle="1" w:styleId="DED7BA05960042D79EA9B98F076A20E5">
    <w:name w:val="DED7BA05960042D79EA9B98F076A20E5"/>
    <w:rsid w:val="002674AC"/>
    <w:pPr>
      <w:spacing w:after="160" w:line="259" w:lineRule="auto"/>
    </w:pPr>
  </w:style>
  <w:style w:type="paragraph" w:customStyle="1" w:styleId="26ECA31699DF44E9AE0B588FE3630F0E">
    <w:name w:val="26ECA31699DF44E9AE0B588FE3630F0E"/>
    <w:rsid w:val="006B2B7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88a1916-0f64-4131-9662-f51bb1bde046">H0150001-522110473-91193</_dlc_DocId>
    <_dlc_DocIdUrl xmlns="188a1916-0f64-4131-9662-f51bb1bde046">
      <Url>https://hydrotasmania.sharepoint.com/sites/pwa03/BoTNPumpedHydro/_layouts/15/DocIdRedir.aspx?ID=H0150001-522110473-91193</Url>
      <Description>H0150001-522110473-91193</Description>
    </_dlc_DocIdUrl>
    <TaxCatchAll xmlns="188a1916-0f64-4131-9662-f51bb1bde046" xsi:nil="true"/>
    <lcf76f155ced4ddcb4097134ff3c332f xmlns="149608e9-d949-4ce1-a05d-ee9a5f2e39d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6737BFDA589B458CD9D0B3B004DD3F" ma:contentTypeVersion="18" ma:contentTypeDescription="Create a new document." ma:contentTypeScope="" ma:versionID="48494d1000f8564cfa0fcfe5e3ff9772">
  <xsd:schema xmlns:xsd="http://www.w3.org/2001/XMLSchema" xmlns:xs="http://www.w3.org/2001/XMLSchema" xmlns:p="http://schemas.microsoft.com/office/2006/metadata/properties" xmlns:ns2="188a1916-0f64-4131-9662-f51bb1bde046" xmlns:ns3="149608e9-d949-4ce1-a05d-ee9a5f2e39d9" xmlns:ns4="9ade2762-0b17-4c3b-a9ae-eef513da1e9a" targetNamespace="http://schemas.microsoft.com/office/2006/metadata/properties" ma:root="true" ma:fieldsID="d4563a6f6c5fabf1e9ff2c0a98e199ed" ns2:_="" ns3:_="" ns4:_="">
    <xsd:import namespace="188a1916-0f64-4131-9662-f51bb1bde046"/>
    <xsd:import namespace="149608e9-d949-4ce1-a05d-ee9a5f2e39d9"/>
    <xsd:import namespace="9ade2762-0b17-4c3b-a9ae-eef513da1e9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2:TaxCatchAll"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a1916-0f64-4131-9662-f51bb1bde04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43a40286-3f40-4717-af80-31ede50b1122}" ma:internalName="TaxCatchAll" ma:showField="CatchAllData" ma:web="4e5899aa-f4f4-4670-bd2a-1a58f241016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49608e9-d949-4ce1-a05d-ee9a5f2e39d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a2c3d70-3546-4620-ba92-0e3bd0a9fcf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ade2762-0b17-4c3b-a9ae-eef513da1e9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74B247-05F1-4F7E-BCDB-54D7DF9C3B5F}">
  <ds:schemaRefs>
    <ds:schemaRef ds:uri="http://schemas.microsoft.com/office/2006/metadata/properties"/>
    <ds:schemaRef ds:uri="http://schemas.microsoft.com/office/infopath/2007/PartnerControls"/>
    <ds:schemaRef ds:uri="http://schemas.microsoft.com/Sharpeoint/v3"/>
  </ds:schemaRefs>
</ds:datastoreItem>
</file>

<file path=customXml/itemProps2.xml><?xml version="1.0" encoding="utf-8"?>
<ds:datastoreItem xmlns:ds="http://schemas.openxmlformats.org/officeDocument/2006/customXml" ds:itemID="{366F83BB-9AD7-4ABC-A363-B18F32712284}">
  <ds:schemaRefs>
    <ds:schemaRef ds:uri="http://schemas.microsoft.com/sharepoint/v3/contenttype/forms"/>
  </ds:schemaRefs>
</ds:datastoreItem>
</file>

<file path=customXml/itemProps3.xml><?xml version="1.0" encoding="utf-8"?>
<ds:datastoreItem xmlns:ds="http://schemas.openxmlformats.org/officeDocument/2006/customXml" ds:itemID="{8ABC7C09-C7D3-45D3-8BA2-EBBFD3C4EFD2}"/>
</file>

<file path=customXml/itemProps4.xml><?xml version="1.0" encoding="utf-8"?>
<ds:datastoreItem xmlns:ds="http://schemas.openxmlformats.org/officeDocument/2006/customXml" ds:itemID="{0982F52B-3E00-4AB9-A580-480D82FAA32C}">
  <ds:schemaRefs>
    <ds:schemaRef ds:uri="http://schemas.openxmlformats.org/officeDocument/2006/bibliography"/>
  </ds:schemaRefs>
</ds:datastoreItem>
</file>

<file path=customXml/itemProps5.xml><?xml version="1.0" encoding="utf-8"?>
<ds:datastoreItem xmlns:ds="http://schemas.openxmlformats.org/officeDocument/2006/customXml" ds:itemID="{8E8A4BC4-0A0B-40F4-89A3-585C0327A90B}"/>
</file>

<file path=docProps/app.xml><?xml version="1.0" encoding="utf-8"?>
<Properties xmlns="http://schemas.openxmlformats.org/officeDocument/2006/extended-properties" xmlns:vt="http://schemas.openxmlformats.org/officeDocument/2006/docPropsVTypes">
  <Template>Normal.dotm</Template>
  <TotalTime>65</TotalTime>
  <Pages>4</Pages>
  <Words>1517</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Project Note</vt:lpstr>
    </vt:vector>
  </TitlesOfParts>
  <Company>Hydro Tasmania Consulting</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Note</dc:title>
  <dc:creator>Raymond Brereton</dc:creator>
  <cp:lastModifiedBy>Greg Jackman</cp:lastModifiedBy>
  <cp:revision>8</cp:revision>
  <cp:lastPrinted>2018-11-17T22:09:00Z</cp:lastPrinted>
  <dcterms:created xsi:type="dcterms:W3CDTF">2020-03-24T03:23:00Z</dcterms:created>
  <dcterms:modified xsi:type="dcterms:W3CDTF">2020-03-24T04:28:00Z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0x010100FF6737BFDA589B458CD9D0B3B004DD3F</vt:lpwstr>
  </property>
  <property fmtid="{D5CDD505-2E9C-101B-9397-08002B2CF9AE}" pid="3" name="_dlc_DocIdItemGuid">
    <vt:lpwstr>f47fbc00-b202-415d-947c-58a5f71666eb</vt:lpwstr>
  </property>
  <property fmtid="{D5CDD505-2E9C-101B-9397-08002B2CF9AE}" pid="4" name="Controlled Document Type">
    <vt:lpwstr>166;#Template|c35902e3-f728-45ed-a2bb-c02491dd4828</vt:lpwstr>
  </property>
</Properties>
</file>